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1828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they do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correctly classified.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 and</w:t>
      </w:r>
      <w:r>
        <w:t xml:space="preserve"> </w:t>
      </w:r>
      <w:r>
        <w:t xml:space="preserve">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 Additional variants will be added as they are released.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16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</w:t>
      </w:r>
      <w:r>
        <w:t xml:space="preserve"> </w:t>
      </w:r>
      <w:r>
        <w:t xml:space="preserve">Naïve accumulation of encounter-level flags is insufficient to accurately capture both the presence and severity of comorbidities.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encounter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post-2022 AHRQ Elixhauser algorithms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repository has details on</w:t>
      </w:r>
      <w:r>
        <w:t xml:space="preserve"> </w:t>
      </w:r>
      <w:r>
        <w:t xml:space="preserve">benchmarking 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the longitudinal nature of</w:t>
      </w:r>
      <w:r>
        <w:t xml:space="preserve"> </w:t>
      </w:r>
      <w:r>
        <w:t xml:space="preserve">clinical disease.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3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39"/>
    <w:bookmarkStart w:id="40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6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5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46"/>
    <w:bookmarkStart w:id="48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7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48"/>
    <w:bookmarkStart w:id="50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49">
        <w:r>
          <w:rPr>
            <w:rStyle w:val="Hyperlink"/>
          </w:rPr>
          <w:t xml:space="preserve">10.1001/jamapediatrics.2018.0256</w:t>
        </w:r>
      </w:hyperlink>
    </w:p>
    <w:bookmarkEnd w:id="50"/>
    <w:bookmarkStart w:id="51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1"/>
    <w:bookmarkStart w:id="53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2">
        <w:r>
          <w:rPr>
            <w:rStyle w:val="Hyperlink"/>
          </w:rPr>
          <w:t xml:space="preserve">10.13026/kpb9-mt58</w:t>
        </w:r>
      </w:hyperlink>
    </w:p>
    <w:bookmarkEnd w:id="53"/>
    <w:bookmarkStart w:id="54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54"/>
    <w:bookmarkStart w:id="56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55">
        <w:r>
          <w:rPr>
            <w:rStyle w:val="Hyperlink"/>
          </w:rPr>
          <w:t xml:space="preserve">10.1161/01.cir.101.23.e215</w:t>
        </w:r>
      </w:hyperlink>
    </w:p>
    <w:bookmarkEnd w:id="56"/>
    <w:bookmarkEnd w:id="57"/>
    <w:p>
      <w:r>
        <w:br w:type="page"/>
      </w:r>
    </w:p>
    <w:bookmarkEnd w:id="58"/>
    <w:bookmarkStart w:id="59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subjects with at least two</w:t>
      </w:r>
      <w:r>
        <w:t xml:space="preserve"> </w:t>
      </w:r>
      <w:r>
        <w:t xml:space="preserve">encounters and at least one comorbidity flagged on encounter 2 as the</w:t>
      </w:r>
      <w:r>
        <w:t xml:space="preserve"> </w:t>
      </w:r>
      <w:r>
        <w:t xml:space="preserve">denominator. Panel (B) uses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4.5.2 (2025-10-31) on</w:t>
      </w:r>
      <w:r>
        <w:t xml:space="preserve"> </w:t>
      </w:r>
      <w:r>
        <w:t xml:space="preserve">macOS Sonoma 14.8.3 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2 to</w:t>
      </w:r>
      <w:r>
        <w:t xml:space="preserve"> </w:t>
      </w:r>
      <w:r>
        <w:t xml:space="preserve">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49 seconds for Charlson,</w:t>
      </w:r>
      <w:r>
        <w:t xml:space="preserve"> </w:t>
      </w:r>
      <w:r>
        <w:t xml:space="preserve">78 seconds for Elixhauser. The MIMIC-IV code panel shows a</w:t>
      </w:r>
      <w:r>
        <w:t xml:space="preserve"> </w:t>
      </w:r>
      <w:r>
        <w:t xml:space="preserve">single Charlson result at about 113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155 seconds for current</w:t>
      </w:r>
      <w:r>
        <w:t xml:space="preserve"> </w:t>
      </w:r>
      <w:r>
        <w:t xml:space="preserve">flagging.</w:t>
      </w:r>
    </w:p>
    <w:bookmarkEnd w:id="59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tests, which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55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2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45" Target="https://doi.org/10.32614/CRAN.package.data.table" TargetMode="External" /><Relationship Type="http://schemas.openxmlformats.org/officeDocument/2006/relationships/hyperlink" Id="rId4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55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2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45" Target="https://doi.org/10.32614/CRAN.package.data.table" TargetMode="External" /><Relationship Type="http://schemas.openxmlformats.org/officeDocument/2006/relationships/hyperlink" Id="rId4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2026-03-18T02:02:00Z</dcterms:created>
  <dcterms:modified xsi:type="dcterms:W3CDTF">2026-03-18T02:02:00Z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