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 medicalcoder 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captures comorbidities missed</w:t>
      </w:r>
      <w:r>
        <w:t xml:space="preserve"> </w:t>
      </w:r>
      <w:r>
        <w:t xml:space="preserve">by encounter-level aggregation while accounting for present-on-admission or</w:t>
      </w:r>
      <w:r>
        <w:t xml:space="preserve"> </w:t>
      </w:r>
      <w:r>
        <w:t xml:space="preserve">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[15–17]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[5,10–14,18–21]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[22]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[23]</w:t>
      </w:r>
      <w:r>
        <w:t xml:space="preserve"> </w:t>
      </w:r>
      <w:r>
        <w:t xml:space="preserve">and dplyr</w:t>
      </w:r>
      <w:r>
        <w:t xml:space="preserve"> </w:t>
      </w:r>
      <w:r>
        <w:t xml:space="preserve">[24]</w:t>
      </w:r>
      <w:r>
        <w:t xml:space="preserve">) and for testing and</w:t>
      </w:r>
      <w:r>
        <w:t xml:space="preserve"> </w:t>
      </w:r>
      <w:r>
        <w:t xml:space="preserve">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2008 - 2021)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 Additional variants will be added as they are released.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[11,19]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[20,21]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[25–27]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[20,21]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21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</w:t>
      </w:r>
      <w:r>
        <w:t xml:space="preserve"> </w:t>
      </w:r>
      <w:r>
        <w:t xml:space="preserve">Naïve accumulation of encounter-level flags is insufficient to accurately capture both the presence and severity of comorbidities.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encounter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post-2022 AHRQ Elixhauser algorithms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repository has details on</w:t>
      </w:r>
      <w:r>
        <w:t xml:space="preserve"> </w:t>
      </w:r>
      <w:r>
        <w:t xml:space="preserve">benchmarking 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the longitudinal nature of</w:t>
      </w:r>
      <w:r>
        <w:t xml:space="preserve"> </w:t>
      </w:r>
      <w:r>
        <w:t xml:space="preserve">clinical disease.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1.9.37</w:t>
      </w:r>
      <w:r>
        <w:t xml:space="preserve"> </w:t>
      </w:r>
      <w:r>
        <w:t xml:space="preserve">(https://quarto.org/) and R version 4.6.1 (2026-06-24).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3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5" w:name="ref-hripcsak2013next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5"/>
    <w:bookmarkStart w:id="46" w:name="ref-casey2016using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6"/>
    <w:bookmarkStart w:id="47" w:name="ref-jensen2014temporal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7"/>
    <w:bookmarkStart w:id="48" w:name="ref-ahrq2017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48"/>
    <w:bookmarkStart w:id="50" w:name="ref-feinstein2018pc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49">
        <w:r>
          <w:rPr>
            <w:rStyle w:val="Hyperlink"/>
          </w:rPr>
          <w:t xml:space="preserve">10.1001/jamapediatrics.2018.0256</w:t>
        </w:r>
      </w:hyperlink>
    </w:p>
    <w:bookmarkEnd w:id="50"/>
    <w:bookmarkStart w:id="51" w:name="ref-johnson2018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1"/>
    <w:bookmarkStart w:id="53" w:name="ref-johnson2022mimiccode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3"/>
    <w:bookmarkStart w:id="54" w:name="ref-watson2025trends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4"/>
    <w:bookmarkStart w:id="56" w:name="ref-r-data.tabl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6"/>
    <w:bookmarkStart w:id="58" w:name="ref-r-dplyr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58"/>
    <w:bookmarkStart w:id="60" w:name="ref-PhysioNet-mimiciv-3.1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9">
        <w:r>
          <w:rPr>
            <w:rStyle w:val="Hyperlink"/>
          </w:rPr>
          <w:t xml:space="preserve">10.13026/kpb9-mt58</w:t>
        </w:r>
      </w:hyperlink>
    </w:p>
    <w:bookmarkEnd w:id="60"/>
    <w:bookmarkStart w:id="61" w:name="ref-johnson2023mimic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1"/>
    <w:bookmarkStart w:id="63" w:name="ref-PhysioNet2000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2">
        <w:r>
          <w:rPr>
            <w:rStyle w:val="Hyperlink"/>
          </w:rPr>
          <w:t xml:space="preserve">10.1161/01.cir.101.23.e215</w:t>
        </w:r>
      </w:hyperlink>
    </w:p>
    <w:bookmarkEnd w:id="63"/>
    <w:bookmarkEnd w:id="64"/>
    <w:p>
      <w:r>
        <w:br w:type="page"/>
      </w:r>
    </w:p>
    <w:bookmarkEnd w:id="65"/>
    <w:bookmarkStart w:id="6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subjects with at least two</w:t>
      </w:r>
      <w:r>
        <w:t xml:space="preserve"> </w:t>
      </w:r>
      <w:r>
        <w:t xml:space="preserve">encounters and at least one comorbidity flagged on encounter 2 as the</w:t>
      </w:r>
      <w:r>
        <w:t xml:space="preserve"> </w:t>
      </w:r>
      <w:r>
        <w:t xml:space="preserve">denominator. Panel (B) uses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26.5.1 with a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3.8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26.7 seconds for Elixhauser. The MIMIC-IV code panel shows a</w:t>
      </w:r>
      <w:r>
        <w:t xml:space="preserve"> </w:t>
      </w:r>
      <w:r>
        <w:t xml:space="preserve">single Charlson result at about 34.7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72 seconds for current</w:t>
      </w:r>
      <w:r>
        <w:t xml:space="preserve"> </w:t>
      </w:r>
      <w:r>
        <w:t xml:space="preserve">flagging.</w:t>
      </w:r>
    </w:p>
    <w:bookmarkEnd w:id="66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tests, which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49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2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59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55" Target="https://doi.org/10.32614/CRAN.package.data.table" TargetMode="External" /><Relationship Type="http://schemas.openxmlformats.org/officeDocument/2006/relationships/hyperlink" Id="rId57" Target="https://doi.org/10.32614/CRAN.package.dplyr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2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2026-07-06T22:12:32Z</dcterms:created>
  <dcterms:modified xsi:type="dcterms:W3CDTF">2026-07-06T22:12:32Z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