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1880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148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characterization. However, existing software inconsistently handles mixed</w:t>
      </w:r>
      <w:r>
        <w:t xml:space="preserve"> </w:t>
      </w:r>
      <w:r>
        <w:t xml:space="preserve">ICD-9/10 data, and operates at the encounter level, failing to reflect the</w:t>
      </w:r>
      <w:r>
        <w:t xml:space="preserve"> </w:t>
      </w:r>
      <w:r>
        <w:t xml:space="preserve">longitudinal nature of disease.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data. Outputs are consistent with published</w:t>
      </w:r>
      <w:r>
        <w:t xml:space="preserve"> </w:t>
      </w:r>
      <w:r>
        <w:t xml:space="preserve">reference implementations. Longitudinal flagging identifies additional</w:t>
      </w:r>
      <w:r>
        <w:t xml:space="preserve"> </w:t>
      </w:r>
      <w:r>
        <w:t xml:space="preserve">comorbidity flags under a carry-forward assumption while accounting for</w:t>
      </w:r>
      <w:r>
        <w:t xml:space="preserve"> </w:t>
      </w:r>
      <w:r>
        <w:t xml:space="preserve">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190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 complete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has been validated against reference implementations. It helps researchers apply</w:t>
            </w:r>
            <w:r>
              <w:t xml:space="preserve"> </w:t>
            </w:r>
            <w:r>
              <w:t xml:space="preserve">comorbidity algorithms with consistency, improving the quality and</w:t>
            </w:r>
            <w:r>
              <w:t xml:space="preserve"> </w:t>
            </w:r>
            <w:r>
              <w:t xml:space="preserve">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[1–8]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[1,9–11]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[4,12–16]</w:t>
      </w:r>
      <w:r>
        <w:t xml:space="preserve">.</w:t>
      </w:r>
    </w:p>
    <w:p>
      <w:pPr>
        <w:pStyle w:val="BodyText"/>
      </w:pPr>
      <w:r>
        <w:t xml:space="preserve">Despite the importance of longitudinal data in modern medical</w:t>
      </w:r>
      <w:r>
        <w:t xml:space="preserve"> </w:t>
      </w:r>
      <w:r>
        <w:t xml:space="preserve">research</w:t>
      </w:r>
      <w:r>
        <w:t xml:space="preserve"> </w:t>
      </w:r>
      <w:r>
        <w:t xml:space="preserve">[17–19]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 </w:t>
      </w:r>
      <w:r>
        <w:t xml:space="preserve">[5,12–16,20–23]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appropriately excluded from the index encounter may be missed</w:t>
      </w:r>
      <w:r>
        <w:t xml:space="preserve"> </w:t>
      </w:r>
      <w:r>
        <w:t xml:space="preserve">in subsequent encounters unless the relevant ICD codes are explicitly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 </w:t>
      </w:r>
      <w:r>
        <w:t xml:space="preserve">[24]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There is a need for a tool that applies multiple comorbidity algorithms through</w:t>
      </w:r>
      <w:r>
        <w:t xml:space="preserve"> </w:t>
      </w:r>
      <w:r>
        <w:t xml:space="preserve">a unified API while accounting for algorithm-specific nuances, ICD versions and</w:t>
      </w:r>
      <w:r>
        <w:t xml:space="preserve"> </w:t>
      </w:r>
      <w:r>
        <w:t xml:space="preserve">types, and longitudinal data.</w:t>
      </w:r>
    </w:p>
    <w:p>
      <w:pPr>
        <w:pStyle w:val="BodyText"/>
      </w:pPr>
      <w:r>
        <w:t xml:space="preserve">We developed the R package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fill this need.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fully self-contained R package that includes a comprehensive internal</w:t>
      </w:r>
      <w:r>
        <w:t xml:space="preserve"> </w:t>
      </w:r>
      <w:r>
        <w:t xml:space="preserve">ICD database capable of applying multiple comorbidity algorithms to clinical</w:t>
      </w:r>
      <w:r>
        <w:t xml:space="preserve"> </w:t>
      </w:r>
      <w:r>
        <w:t xml:space="preserve">datasets, and requires no external dependencies, internet access, or external</w:t>
      </w:r>
      <w:r>
        <w:t xml:space="preserve"> </w:t>
      </w:r>
      <w:r>
        <w:t xml:space="preserve">data resources. The package should support 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7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be fully self-contained and deployable in</w:t>
      </w:r>
      <w:r>
        <w:t xml:space="preserve"> </w:t>
      </w:r>
      <w:r>
        <w:t xml:space="preserve">restricted computing environments with limited or no internet access and tightly</w:t>
      </w:r>
      <w:r>
        <w:t xml:space="preserve"> </w:t>
      </w:r>
      <w:r>
        <w:t xml:space="preserve">controlled system settings and software. No external namespaces are imported; R</w:t>
      </w:r>
      <w:r>
        <w:t xml:space="preserve"> </w:t>
      </w:r>
      <w:r>
        <w:t xml:space="preserve">≥ 3.5.0 is the only required dependency, ensuring compatibility with modern</w:t>
      </w:r>
      <w:r>
        <w:t xml:space="preserve"> </w:t>
      </w:r>
      <w:r>
        <w:t xml:space="preserve">R serialization formats. Several packages are suggested for enhanced performance</w:t>
      </w:r>
      <w:r>
        <w:t xml:space="preserve"> </w:t>
      </w:r>
      <w:r>
        <w:t xml:space="preserve">(data.table</w:t>
      </w:r>
      <w:r>
        <w:t xml:space="preserve"> </w:t>
      </w:r>
      <w:r>
        <w:t xml:space="preserve">[25]</w:t>
      </w:r>
      <w:r>
        <w:t xml:space="preserve"> </w:t>
      </w:r>
      <w:r>
        <w:t xml:space="preserve">and dplyr</w:t>
      </w:r>
      <w:r>
        <w:t xml:space="preserve"> </w:t>
      </w:r>
      <w:r>
        <w:t xml:space="preserve">[26]</w:t>
      </w:r>
      <w:r>
        <w:t xml:space="preserve">) and for testing and</w:t>
      </w:r>
      <w:r>
        <w:t xml:space="preserve"> </w:t>
      </w:r>
      <w:r>
        <w:t xml:space="preserve">documentation but are not required for installation or use.</w:t>
      </w:r>
    </w:p>
    <w:p>
      <w:pPr>
        <w:pStyle w:val="BodyText"/>
      </w:pPr>
      <w:r>
        <w:t xml:space="preserve">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version 0.8.1.9002, the internal</w:t>
      </w:r>
      <w:r>
        <w:t xml:space="preserve"> </w:t>
      </w:r>
      <w:r>
        <w:t xml:space="preserve">ICD database includes ICD-9 diagnostic codes from the Centers for Disease</w:t>
      </w:r>
      <w:r>
        <w:t xml:space="preserve"> </w:t>
      </w:r>
      <w:r>
        <w:t xml:space="preserve">Control and Prevention (CDC; fiscal years 1997 - 2012) and ICD-9-CM and ICD-9-PCS</w:t>
      </w:r>
      <w:r>
        <w:t xml:space="preserve"> </w:t>
      </w:r>
      <w:r>
        <w:t xml:space="preserve">codes from the Centers for Medicare and Medicaid Services (CMS; fiscal years</w:t>
      </w:r>
      <w:r>
        <w:t xml:space="preserve"> </w:t>
      </w:r>
      <w:r>
        <w:rPr>
          <w:rStyle w:val="VerbatimChar"/>
        </w:rPr>
        <w:t xml:space="preserve">r cms9</w:t>
      </w:r>
      <w:r>
        <w:t xml:space="preserve">). ICD-10 diagnostic codes from the CDC (calendar years 2001 - 2025) and the</w:t>
      </w:r>
      <w:r>
        <w:t xml:space="preserve"> </w:t>
      </w:r>
      <w:r>
        <w:t xml:space="preserve">World Health Organization (WHO; calendar years 2008 - 2021) are included, along</w:t>
      </w:r>
      <w:r>
        <w:t xml:space="preserve"> </w:t>
      </w:r>
      <w:r>
        <w:t xml:space="preserve">with ICD-10-CM and ICD-10-PCS codes from CMS (fiscal years 2014 - 2026)</w:t>
      </w:r>
      <w:r>
        <w:t xml:space="preserve"> </w:t>
      </w:r>
      <w:r>
        <w:rPr>
          <w:b/>
          <w:bCs/>
        </w:rPr>
        <w:t xml:space="preserve">(TODO: ADD SE AND AM NOTES)</w:t>
      </w:r>
      <w:r>
        <w:t xml:space="preserve">. The</w:t>
      </w:r>
      <w:r>
        <w:t xml:space="preserve"> </w:t>
      </w:r>
      <w:r>
        <w:t xml:space="preserve">internal database will be extended as additional code sets are published.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2011),</w:t>
      </w:r>
      <w:r>
        <w:t xml:space="preserve"> </w:t>
      </w:r>
      <w:r>
        <w:t xml:space="preserve">CDMF (2019)</w:t>
      </w:r>
      <w:r>
        <w:t xml:space="preserve"> </w:t>
      </w:r>
      <w:r>
        <w:t xml:space="preserve">[6]</w:t>
      </w:r>
      <w:r>
        <w:t xml:space="preserve">, Ludvigsson (2021)</w:t>
      </w:r>
      <w:r>
        <w:t xml:space="preserve"> </w:t>
      </w:r>
      <w:r>
        <w:t xml:space="preserve">[7,8]</w:t>
      </w:r>
      <w:r>
        <w:t xml:space="preserve">, Sundararajan (2004)</w:t>
      </w:r>
      <w:r>
        <w:t xml:space="preserve"> </w:t>
      </w:r>
      <w:r>
        <w:t xml:space="preserve">[</w:t>
      </w:r>
      <w:r>
        <w:rPr>
          <w:b/>
          <w:bCs/>
        </w:rPr>
        <w:t xml:space="preserve">sundararajan2004?</w:t>
      </w:r>
      <w:r>
        <w:t xml:space="preserve">]</w:t>
      </w:r>
      <w:r>
        <w:t xml:space="preserve">, and Beyrer (2021)</w:t>
      </w:r>
      <w:r>
        <w:t xml:space="preserve"> </w:t>
      </w:r>
      <w:r>
        <w:t xml:space="preserve">[27]</w:t>
      </w:r>
      <w:r>
        <w:t xml:space="preserve">. Elixhauser</w:t>
      </w:r>
      <w:r>
        <w:t xml:space="preserve"> </w:t>
      </w:r>
      <w:r>
        <w:t xml:space="preserve">variants include the original Elixhauser (1988), AHRQ Web (ICD-9 based as</w:t>
      </w:r>
      <w:r>
        <w:t xml:space="preserve"> </w:t>
      </w:r>
      <w:r>
        <w:t xml:space="preserve">denoted in</w:t>
      </w:r>
      <w:r>
        <w:t xml:space="preserve"> </w:t>
      </w:r>
      <w:r>
        <w:t xml:space="preserve">[1]</w:t>
      </w:r>
      <w:r>
        <w:t xml:space="preserve">), Quan (2005), and AHRQ ICD-10 fiscal-year implementations</w:t>
      </w:r>
      <w:r>
        <w:t xml:space="preserve"> </w:t>
      </w:r>
      <w:r>
        <w:t xml:space="preserve">(2022–2026). PCCC variants include versions 2.0, 2.1, 3.0, and 3.1. Additional</w:t>
      </w:r>
      <w:r>
        <w:t xml:space="preserve"> </w:t>
      </w:r>
      <w:r>
        <w:t xml:space="preserve">variants will be added as they are released.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maps ICD codes to comorbidity conditions using method-specific</w:t>
      </w:r>
      <w:r>
        <w:t xml:space="preserve"> </w:t>
      </w:r>
      <w:r>
        <w:t xml:space="preserve">lookup tables derived from its internal ICD database. These lookup tables are</w:t>
      </w:r>
      <w:r>
        <w:t xml:space="preserve"> </w:t>
      </w:r>
      <w:r>
        <w:t xml:space="preserve">separate from the broader ICD reference database: selecting a comorbidity method</w:t>
      </w:r>
      <w:r>
        <w:t xml:space="preserve"> </w:t>
      </w:r>
      <w:r>
        <w:t xml:space="preserve">restricts matching to the ICD versions, diagnosis or procedure code types, and</w:t>
      </w:r>
      <w:r>
        <w:t xml:space="preserve"> </w:t>
      </w:r>
      <w:r>
        <w:t xml:space="preserve">condition mappings defined for that algorithm. Unlike implementations that rely</w:t>
      </w:r>
      <w:r>
        <w:t xml:space="preserve"> </w:t>
      </w:r>
      <w:r>
        <w:t xml:space="preserve">primarily on partial string matching or regular</w:t>
      </w:r>
      <w:r>
        <w:t xml:space="preserve"> </w:t>
      </w:r>
      <w:r>
        <w:t xml:space="preserve">expressions</w:t>
      </w:r>
      <w:r>
        <w:t xml:space="preserve"> </w:t>
      </w:r>
      <w:r>
        <w:t xml:space="preserve">[12,13,23]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maps input codes to known ICD codes by database-style joins.</w:t>
      </w:r>
    </w:p>
    <w:p>
      <w:pPr>
        <w:pStyle w:val="BodyText"/>
      </w:pPr>
      <w:r>
        <w:t xml:space="preserve">Each lookup table records ICD version (</w:t>
      </w:r>
      <w:r>
        <w:rPr>
          <w:rStyle w:val="VerbatimChar"/>
        </w:rPr>
        <w:t xml:space="preserve">icdv</w:t>
      </w:r>
      <w:r>
        <w:t xml:space="preserve">; 9 or 10), code type (</w:t>
      </w:r>
      <w:r>
        <w:rPr>
          <w:rStyle w:val="VerbatimChar"/>
        </w:rPr>
        <w:t xml:space="preserve">dx</w:t>
      </w:r>
      <w:r>
        <w:t xml:space="preserve">; 1 for</w:t>
      </w:r>
      <w:r>
        <w:t xml:space="preserve"> </w:t>
      </w:r>
      <w:r>
        <w:t xml:space="preserve">diagnosis and 0 for procedure), full ICD code form (</w:t>
      </w:r>
      <w:r>
        <w:rPr>
          <w:rStyle w:val="VerbatimChar"/>
        </w:rPr>
        <w:t xml:space="preserve">full_code</w:t>
      </w:r>
      <w:r>
        <w:t xml:space="preserve">; e.g., C18.9),</w:t>
      </w:r>
      <w:r>
        <w:t xml:space="preserve"> </w:t>
      </w:r>
      <w:r>
        <w:t xml:space="preserve">compact ICD code form (</w:t>
      </w:r>
      <w:r>
        <w:rPr>
          <w:rStyle w:val="VerbatimChar"/>
        </w:rPr>
        <w:t xml:space="preserve">code</w:t>
      </w:r>
      <w:r>
        <w:t xml:space="preserve">; e.g., C189), and the corresponding comorbidity</w:t>
      </w:r>
      <w:r>
        <w:t xml:space="preserve"> </w:t>
      </w:r>
      <w:r>
        <w:t xml:space="preserve">condition. Depending on user-supplied metadata, matching can use dataset-level</w:t>
      </w:r>
      <w:r>
        <w:t xml:space="preserve"> </w:t>
      </w:r>
      <w:r>
        <w:t xml:space="preserve">or row-level ICD version and diagnosis/procedure indicators, allowing ICD-9 and</w:t>
      </w:r>
      <w:r>
        <w:t xml:space="preserve"> </w:t>
      </w:r>
      <w:r>
        <w:t xml:space="preserve">ICD-10 codes, and diagnosis and procedure codes, to be evaluated within the same</w:t>
      </w:r>
      <w:r>
        <w:t xml:space="preserve"> </w:t>
      </w:r>
      <w:r>
        <w:t xml:space="preserve">dataset or encounter. Matches are collapsed to unique encounter-condition</w:t>
      </w:r>
      <w:r>
        <w:t xml:space="preserve"> </w:t>
      </w:r>
      <w:r>
        <w:t xml:space="preserve">combinations before binary indicators are calculated, so repeated codes or</w:t>
      </w:r>
      <w:r>
        <w:t xml:space="preserve"> </w:t>
      </w:r>
      <w:r>
        <w:t xml:space="preserve">multiple codes mapping to the same condition do not inflate condition counts.</w:t>
      </w:r>
    </w:p>
    <w:p>
      <w:pPr>
        <w:pStyle w:val="BodyText"/>
      </w:pPr>
      <w:r>
        <w:t xml:space="preserve">Because code text alone cannot reliably distinguish jurisdictional variants such</w:t>
      </w:r>
      <w:r>
        <w:t xml:space="preserve"> </w:t>
      </w:r>
      <w:r>
        <w:t xml:space="preserve">as WHO ICD-10 and ICD-10-CM, users must select a method appropriate to their</w:t>
      </w:r>
      <w:r>
        <w:t xml:space="preserve"> </w:t>
      </w:r>
      <w:r>
        <w:t xml:space="preserve">source coding system and provide accurate code-system metadata.</w:t>
      </w:r>
    </w:p>
    <w:p>
      <w:pPr>
        <w:pStyle w:val="BodyText"/>
      </w:pPr>
      <w:r>
        <w:t xml:space="preserve">A comprehensive test suite runs as a GitHub Action and on the Comprehensive R</w:t>
      </w:r>
      <w:r>
        <w:t xml:space="preserve"> </w:t>
      </w:r>
      <w:r>
        <w:t xml:space="preserve">Archive Network (CRAN). An additional test suite runs on demand for all released</w:t>
      </w:r>
      <w:r>
        <w:t xml:space="preserve"> </w:t>
      </w:r>
      <w:r>
        <w:t xml:space="preserve">versions of R ≥ 3.5.0 without suggested packages, and for versions ≥</w:t>
      </w:r>
      <w:r>
        <w:t xml:space="preserve"> </w:t>
      </w:r>
      <w:r>
        <w:t xml:space="preserve">4.4.0 with suggested packages</w:t>
      </w:r>
      <w:r>
        <w:rPr>
          <w:rStyle w:val="FootnoteReference"/>
        </w:rPr>
        <w:footnoteReference w:id="13"/>
      </w:r>
      <w:r>
        <w:t xml:space="preserve">.</w:t>
      </w:r>
    </w:p>
    <w:p>
      <w:pPr>
        <w:pStyle w:val="BodyText"/>
      </w:pPr>
      <w:r>
        <w:t xml:space="preserve">The test suite includes validation between</w:t>
      </w:r>
      <w:r>
        <w:t xml:space="preserve"> </w:t>
      </w:r>
      <w:r>
        <w:rPr>
          <w:rStyle w:val="VerbatimChar"/>
        </w:rPr>
        <w:t xml:space="preserve">method = "pccc_v2.0"</w:t>
      </w:r>
      <w:r>
        <w:t xml:space="preserve"> </w:t>
      </w:r>
      <w:r>
        <w:t xml:space="preserve">and the R</w:t>
      </w:r>
      <w:r>
        <w:t xml:space="preserve"> </w:t>
      </w:r>
      <w:r>
        <w:t xml:space="preserve">package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[13,21]</w:t>
      </w:r>
      <w:r>
        <w:t xml:space="preserve">, and between</w:t>
      </w:r>
      <w:r>
        <w:t xml:space="preserve"> </w:t>
      </w:r>
      <w:r>
        <w:rPr>
          <w:rStyle w:val="VerbatimChar"/>
        </w:rPr>
        <w:t xml:space="preserve">method = elixhauser_ahrq20XX</w:t>
      </w:r>
      <w:r>
        <w:t xml:space="preserve"> </w:t>
      </w:r>
      <w:r>
        <w:t xml:space="preserve">and the published SAS code from AHRQ</w:t>
      </w:r>
      <w:r>
        <w:rPr>
          <w:rStyle w:val="FootnoteReference"/>
        </w:rPr>
        <w:footnoteReference w:id="14"/>
      </w:r>
      <w:r>
        <w:t xml:space="preserve"> </w:t>
      </w:r>
      <w:r>
        <w:t xml:space="preserve">[5]</w:t>
      </w:r>
      <w:r>
        <w:t xml:space="preserve">. As</w:t>
      </w:r>
      <w:r>
        <w:t xml:space="preserve"> </w:t>
      </w:r>
      <w:r>
        <w:t xml:space="preserve">part of the website</w:t>
      </w:r>
      <w:r>
        <w:rPr>
          <w:rStyle w:val="FootnoteReference"/>
        </w:rPr>
        <w:footnoteReference w:id="15"/>
      </w:r>
      <w:r>
        <w:t xml:space="preserve"> </w:t>
      </w:r>
      <w:r>
        <w:t xml:space="preserve">build, consistency between</w:t>
      </w:r>
      <w:r>
        <w:t xml:space="preserve"> </w:t>
      </w:r>
      <w:r>
        <w:rPr>
          <w:rStyle w:val="VerbatimChar"/>
        </w:rPr>
        <w:t xml:space="preserve">method = charlson_quan2005</w:t>
      </w:r>
      <w:r>
        <w:t xml:space="preserve"> </w:t>
      </w:r>
      <w:r>
        <w:t xml:space="preserve">and the SQL code provided by</w:t>
      </w:r>
      <w:r>
        <w:t xml:space="preserve"> </w:t>
      </w:r>
      <w:r>
        <w:t xml:space="preserve">MIT-LCP/mimic-code/mimic-iv</w:t>
      </w:r>
      <w:r>
        <w:t xml:space="preserve"> </w:t>
      </w:r>
      <w:r>
        <w:t xml:space="preserve">[22,23]</w:t>
      </w:r>
      <w:r>
        <w:t xml:space="preserve"> </w:t>
      </w:r>
      <w:r>
        <w:t xml:space="preserve">is</w:t>
      </w:r>
      <w:r>
        <w:t xml:space="preserve"> </w:t>
      </w:r>
      <w:r>
        <w:t xml:space="preserve">verified.</w:t>
      </w:r>
    </w:p>
    <w:p>
      <w:pPr>
        <w:pStyle w:val="BodyText"/>
      </w:pPr>
      <w:r>
        <w:t xml:space="preserve">We use the MIMIC-IV v3.1 Data</w:t>
      </w:r>
      <w:r>
        <w:t xml:space="preserve"> </w:t>
      </w:r>
      <w:r>
        <w:t xml:space="preserve">[28–30]</w:t>
      </w:r>
      <w:r>
        <w:t xml:space="preserve"> </w:t>
      </w:r>
      <w:r>
        <w:t xml:space="preserve">as the foundation for</w:t>
      </w:r>
      <w:r>
        <w:t xml:space="preserve"> </w:t>
      </w:r>
      <w:r>
        <w:t xml:space="preserve">the following examples and the supplement. The MIMIC-IV v3.1 dataset is a large,</w:t>
      </w:r>
      <w:r>
        <w:t xml:space="preserve"> </w:t>
      </w:r>
      <w:r>
        <w:t xml:space="preserve">publicly available clinical database used for method development, validation,</w:t>
      </w:r>
      <w:r>
        <w:t xml:space="preserve"> </w:t>
      </w:r>
      <w:r>
        <w:t xml:space="preserve">and reproducible research in clinical informatics and outcomes research. We use</w:t>
      </w:r>
      <w:r>
        <w:t xml:space="preserve"> </w:t>
      </w:r>
      <w:r>
        <w:t xml:space="preserve">the MIMIC-IV in this work to illustrate algorithmic implementations and not make</w:t>
      </w:r>
      <w:r>
        <w:t xml:space="preserve"> </w:t>
      </w:r>
      <w:r>
        <w:t xml:space="preserve">clinical inference. This is a critical caveat as we apply pediatric specific</w:t>
      </w:r>
      <w:r>
        <w:t xml:space="preserve"> </w:t>
      </w:r>
      <w:r>
        <w:t xml:space="preserve">methods to the adult data only MIMIC-IV data.</w:t>
      </w:r>
    </w:p>
    <w:p>
      <w:pPr>
        <w:pStyle w:val="BodyText"/>
      </w:pPr>
      <w:r>
        <w:t xml:space="preserve">We compare the results of the comorbidity flagging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three alternatives, the MIMIC-IV Code released by the MIT Laboratory for</w:t>
      </w:r>
      <w:r>
        <w:t xml:space="preserve"> </w:t>
      </w:r>
      <w:r>
        <w:t xml:space="preserve">Computational Physiology (MIT_LCP) on GitHub</w:t>
      </w:r>
      <w:r>
        <w:rPr>
          <w:rStyle w:val="FootnoteReference"/>
        </w:rPr>
        <w:footnoteReference w:id="16"/>
      </w:r>
      <w:r>
        <w:t xml:space="preserve"> </w:t>
      </w:r>
      <w:r>
        <w:t xml:space="preserve">and</w:t>
      </w:r>
      <w:r>
        <w:t xml:space="preserve"> </w:t>
      </w:r>
      <w:r>
        <w:t xml:space="preserve">Zenodo</w:t>
      </w:r>
      <w:r>
        <w:t xml:space="preserve"> </w:t>
      </w:r>
      <w:r>
        <w:t xml:space="preserve">[22,23]</w:t>
      </w:r>
      <w:r>
        <w:t xml:space="preserve">, and the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[13]</w:t>
      </w:r>
      <w:r>
        <w:t xml:space="preserve">.</w:t>
      </w:r>
    </w:p>
    <w:bookmarkEnd w:id="17"/>
    <w:bookmarkStart w:id="18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ICD-9 and ICD-10 codes.</w:t>
      </w:r>
    </w:p>
    <w:p>
      <w:pPr>
        <w:pStyle w:val="BodyText"/>
      </w:pPr>
      <w:r>
        <w:t xml:space="preserve">A single function,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, is the interface for</w:t>
      </w:r>
      <w:r>
        <w:t xml:space="preserve"> </w:t>
      </w:r>
      <w:r>
        <w:t xml:space="preserve">applying any of 21 comorbidity</w:t>
      </w:r>
      <w:r>
        <w:t xml:space="preserve"> </w:t>
      </w:r>
      <w:r>
        <w:t xml:space="preserve">algorithms implemented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see Figure 1. The input data are expected</w:t>
      </w:r>
      <w:r>
        <w:t xml:space="preserve"> </w:t>
      </w:r>
      <w:r>
        <w:t xml:space="preserve">to be in long format, one ICD code per row, with optional columns for</w:t>
      </w:r>
      <w:r>
        <w:t xml:space="preserve"> </w:t>
      </w:r>
      <w:r>
        <w:t xml:space="preserve">identification variables (e.g., patient and encounter ids), ICD version (integer</w:t>
      </w:r>
      <w:r>
        <w:t xml:space="preserve"> </w:t>
      </w:r>
      <w:r>
        <w:t xml:space="preserve">value 9 or 10), ICD type (1 for diagnostic code, 0 for procedure code), POA</w:t>
      </w:r>
      <w:r>
        <w:t xml:space="preserve"> </w:t>
      </w:r>
      <w:r>
        <w:t xml:space="preserve">indicator, and primary diagnosis indicator. The ICD codes can be full, compact,</w:t>
      </w:r>
      <w:r>
        <w:t xml:space="preserve"> </w:t>
      </w:r>
      <w:r>
        <w:t xml:space="preserve">or a combination thereof. A single patient/encounter record may contain ICD-9,</w:t>
      </w:r>
      <w:r>
        <w:t xml:space="preserve"> </w:t>
      </w:r>
      <w:r>
        <w:t xml:space="preserve">ICD-10, or both.</w:t>
      </w:r>
    </w:p>
    <w:p>
      <w:pPr>
        <w:pStyle w:val="BodyText"/>
      </w:pPr>
      <w:r>
        <w:t xml:space="preserve">Several arguments are provided in paired forms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,</w:t>
      </w:r>
      <w:r>
        <w:t xml:space="preserve"> </w:t>
      </w:r>
      <w:r>
        <w:rPr>
          <w:rStyle w:val="VerbatimChar"/>
        </w:rPr>
        <w:t xml:space="preserve">icdv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icdv.var</w:t>
      </w:r>
      <w:r>
        <w:t xml:space="preserve">): arguments without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suffix specify dataset-level</w:t>
      </w:r>
      <w:r>
        <w:t xml:space="preserve"> </w:t>
      </w:r>
      <w:r>
        <w:t xml:space="preserve">invariants, whereas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arguments reference columns encoding row-level</w:t>
      </w:r>
      <w:r>
        <w:t xml:space="preserve"> </w:t>
      </w:r>
      <w:r>
        <w:t xml:space="preserve">variation. This avoids creating constant-valued columns when dataset-level</w:t>
      </w:r>
      <w:r>
        <w:t xml:space="preserve"> </w:t>
      </w:r>
      <w:r>
        <w:t xml:space="preserve">properties are already known while still supporting heterogeneous datasets. When</w:t>
      </w:r>
      <w:r>
        <w:t xml:space="preserve"> </w:t>
      </w:r>
      <w:r>
        <w:t xml:space="preserve">both forms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form takes precedence and a warning is</w:t>
      </w:r>
      <w:r>
        <w:t xml:space="preserve"> </w:t>
      </w:r>
      <w:r>
        <w:t xml:space="preserve">issued.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argument controls how comorbidities are summarized into</w:t>
      </w:r>
      <w:r>
        <w:t xml:space="preserve"> </w:t>
      </w:r>
      <w:r>
        <w:t xml:space="preserve">encounter-level flags. When flag.method =</w:t>
      </w:r>
      <w:r>
        <w:t xml:space="preserve"> </w:t>
      </w:r>
      <w:r>
        <w:t xml:space="preserve">“current”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is optional; if</w:t>
      </w:r>
      <w:r>
        <w:t xml:space="preserve"> </w:t>
      </w:r>
      <w:r>
        <w:t xml:space="preserve">omitted, the entire dataset is treated as a single encounter. For longitudinal</w:t>
      </w:r>
      <w:r>
        <w:t xml:space="preserve"> </w:t>
      </w:r>
      <w:r>
        <w:t xml:space="preserve">flagging (</w:t>
      </w:r>
      <w:r>
        <w:rPr>
          <w:rStyle w:val="VerbatimChar"/>
        </w:rPr>
        <w:t xml:space="preserve">flag.method = "cumulative"</w:t>
      </w:r>
      <w:r>
        <w:t xml:space="preserve">),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variables: the leading variables define the patient and the final variable</w:t>
      </w:r>
      <w:r>
        <w:t xml:space="preserve"> </w:t>
      </w:r>
      <w:r>
        <w:t xml:space="preserve">defines within-patient order for carrying ICD codes forward across encounters.</w:t>
      </w:r>
    </w:p>
    <w:p>
      <w:pPr>
        <w:pStyle w:val="BodyText"/>
      </w:pPr>
      <w:r>
        <w:t xml:space="preserve">The ordering variable may be a date/time (e.g., admission time) or a numeric</w:t>
      </w:r>
      <w:r>
        <w:t xml:space="preserve"> </w:t>
      </w:r>
      <w:r>
        <w:t xml:space="preserve">sequence (e.g., encounter number). In large datasets, using an integer sequence</w:t>
      </w:r>
      <w:r>
        <w:t xml:space="preserve"> </w:t>
      </w:r>
      <w:r>
        <w:t xml:space="preserve">often reduces overhead relative to sorting and joining on POSIXct timestamps.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returns an object of the same class as the input</w:t>
      </w:r>
      <w:r>
        <w:t xml:space="preserve"> </w:t>
      </w:r>
      <w:r>
        <w:t xml:space="preserve">data.frame, containing the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also provides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to generate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method = "charlson_quan2011"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Flagging of comorbidities at the encounter-level only assumes all relevant ICD</w:t>
      </w:r>
      <w:r>
        <w:t xml:space="preserve"> </w:t>
      </w:r>
      <w:r>
        <w:t xml:space="preserve">codes are reported on all encounters and correctly marked as POA. This is</w:t>
      </w:r>
      <w:r>
        <w:t xml:space="preserve"> </w:t>
      </w:r>
      <w:r>
        <w:t xml:space="preserve">rarely the case. Naïve accumulation of encounter-level flags may fail to</w:t>
      </w:r>
      <w:r>
        <w:t xml:space="preserve"> </w:t>
      </w:r>
      <w:r>
        <w:t xml:space="preserve">preserve condition history or severity.</w:t>
      </w:r>
    </w:p>
    <w:p>
      <w:pPr>
        <w:pStyle w:val="BodyText"/>
      </w:pPr>
      <w:r>
        <w:t xml:space="preserve">Figure 2 summarizes how cumulative flagging changes comorbidity profiles</w:t>
      </w:r>
      <w:r>
        <w:t xml:space="preserve"> </w:t>
      </w:r>
      <w:r>
        <w:t xml:space="preserve">relative to encounter-level flagging. The plotted measures are descriptive and</w:t>
      </w:r>
      <w:r>
        <w:t xml:space="preserve"> </w:t>
      </w:r>
      <w:r>
        <w:t xml:space="preserve">not mutually exclusive:</w:t>
      </w:r>
      <w:r>
        <w:t xml:space="preserve"> </w:t>
      </w:r>
      <w:r>
        <w:t xml:space="preserve">“different risk profile”</w:t>
      </w:r>
      <w:r>
        <w:t xml:space="preserve"> </w:t>
      </w:r>
      <w:r>
        <w:t xml:space="preserve">denotes any difference in</w:t>
      </w:r>
      <w:r>
        <w:t xml:space="preserve"> </w:t>
      </w:r>
      <w:r>
        <w:t xml:space="preserve">condition classification or comorbidity count, while the remaining measures</w:t>
      </w:r>
      <w:r>
        <w:t xml:space="preserve"> </w:t>
      </w:r>
      <w:r>
        <w:t xml:space="preserve">describe selected components of that difference. Subject-level percentages use</w:t>
      </w:r>
      <w:r>
        <w:t xml:space="preserve"> </w:t>
      </w:r>
      <w:r>
        <w:t xml:space="preserve">subjects with at least two encounters and at least one non-initial encounter</w:t>
      </w:r>
      <w:r>
        <w:t xml:space="preserve"> </w:t>
      </w:r>
      <w:r>
        <w:t xml:space="preserve">with a cumulative comorbidity flag as the denominator. Encounter-level</w:t>
      </w:r>
      <w:r>
        <w:t xml:space="preserve"> </w:t>
      </w:r>
      <w:r>
        <w:t xml:space="preserve">percentages use non-initial encounters with at least one cumulative comorbidity</w:t>
      </w:r>
      <w:r>
        <w:t xml:space="preserve"> </w:t>
      </w:r>
      <w:r>
        <w:t xml:space="preserve">flag as the denominator.</w:t>
      </w:r>
    </w:p>
    <w:p>
      <w:pPr>
        <w:pStyle w:val="BodyText"/>
      </w:pPr>
      <w:r>
        <w:t xml:space="preserve">For example, 92,536 subjects with at least two encounters and at</w:t>
      </w:r>
      <w:r>
        <w:t xml:space="preserve"> </w:t>
      </w:r>
      <w:r>
        <w:t xml:space="preserve">least one Elixhauser comorbidity flagged on the non-index encounter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 68,085 (73.6%) subjects have at least one encounter with a</w:t>
      </w:r>
      <w:r>
        <w:t xml:space="preserve"> </w:t>
      </w:r>
      <w:r>
        <w:t xml:space="preserve">different risk profile (different classification of comorbidities and/or count</w:t>
      </w:r>
      <w:r>
        <w:t xml:space="preserve"> </w:t>
      </w:r>
      <w:r>
        <w:t xml:space="preserve">of comorbidities)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10,553 (11.4%) subjects had at least one encounter with zero</w:t>
      </w:r>
      <w:r>
        <w:t xml:space="preserve"> </w:t>
      </w:r>
      <w:r>
        <w:t xml:space="preserve">comorbidities per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and at least one comorbidity with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.</w:t>
      </w:r>
    </w:p>
    <w:p>
      <w:pPr>
        <w:pStyle w:val="BodyText"/>
      </w:pPr>
      <w:r>
        <w:t xml:space="preserve">The PCCC v3 and AHRQ Elixhauser algorithms, 2022-2026, are more complex.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 Elixhauser</w:t>
      </w:r>
      <w:r>
        <w:t xml:space="preserve"> </w:t>
      </w:r>
      <w:r>
        <w:t xml:space="preserve">from AHRQ post 2022 account for POA status of ICD codes (example in Supplement.)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ensures the algorithm’s longitudinal logic is</w:t>
      </w:r>
      <w:r>
        <w:t xml:space="preserve"> </w:t>
      </w:r>
      <w:r>
        <w:t xml:space="preserve">applied consistently.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Encounter-level validation showed agreement between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and</w:t>
      </w:r>
      <w:r>
        <w:t xml:space="preserve"> </w:t>
      </w:r>
      <w:r>
        <w:t xml:space="preserve">comparator implementations when the same published algorithm and valid MIMIC-IV</w:t>
      </w:r>
      <w:r>
        <w:t xml:space="preserve"> </w:t>
      </w:r>
      <w:r>
        <w:t xml:space="preserve">ICD-coded inputs were used. Charlson flags matched the MIMIC-IV Code</w:t>
      </w:r>
      <w:r>
        <w:t xml:space="preserve"> </w:t>
      </w:r>
      <w:r>
        <w:t xml:space="preserve">implementation after harmonizing output conventions for severity handling, and</w:t>
      </w:r>
      <w:r>
        <w:t xml:space="preserve"> </w:t>
      </w:r>
      <w:r>
        <w:t xml:space="preserve">Elixhauser flags matched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for shared condition indicators. PCCC</w:t>
      </w:r>
      <w:r>
        <w:t xml:space="preserve"> </w:t>
      </w:r>
      <w:r>
        <w:t xml:space="preserve">differences were limited to documented technology-dependence and</w:t>
      </w:r>
      <w:r>
        <w:t xml:space="preserve"> </w:t>
      </w:r>
      <w:r>
        <w:t xml:space="preserve">transplant-category handling differences described in the supplement.</w:t>
      </w:r>
      <w:r>
        <w:t xml:space="preserve"> </w:t>
      </w:r>
      <w:r>
        <w:t xml:space="preserve">Quantitative agreement summaries and discordance explanations are provided in</w:t>
      </w:r>
      <w:r>
        <w:t xml:space="preserve"> </w:t>
      </w:r>
      <w:r>
        <w:t xml:space="preserve">Supplementary Table X.</w:t>
      </w:r>
      <w:r>
        <w:t xml:space="preserve"> </w:t>
      </w:r>
      <w:r>
        <w:rPr>
          <w:b/>
          <w:bCs/>
        </w:rPr>
        <w:t xml:space="preserve">TODO: WHICH TABLE????</w:t>
      </w:r>
    </w:p>
    <w:p>
      <w:pPr>
        <w:pStyle w:val="BodyText"/>
      </w:pPr>
      <w:r>
        <w:t xml:space="preserve">Additionally, the comparators all use some form of partial string matching in</w:t>
      </w:r>
      <w:r>
        <w:t xml:space="preserve"> </w:t>
      </w:r>
      <w:r>
        <w:t xml:space="preserve">their implementations for mapping ICD codes to conditions. In contrast,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uses a set of precomputed valid ICD codes to map between input</w:t>
      </w:r>
      <w:r>
        <w:t xml:space="preserve"> </w:t>
      </w:r>
      <w:r>
        <w:t xml:space="preserve">data and conditions using database style joins. As a result, comparators</w:t>
      </w:r>
      <w:r>
        <w:t xml:space="preserve"> </w:t>
      </w:r>
      <w:r>
        <w:t xml:space="preserve">implementations can return false positive flags when an invalid input string</w:t>
      </w:r>
      <w:r>
        <w:t xml:space="preserve"> </w:t>
      </w:r>
      <w:r>
        <w:t xml:space="preserve">such as tarts with a valid substring ICD code substring. For example, the</w:t>
      </w:r>
      <w:r>
        <w:t xml:space="preserve"> </w:t>
      </w:r>
      <w:r>
        <w:t xml:space="preserve">ICD-10 code C189 maps to</w:t>
      </w:r>
      <w:r>
        <w:t xml:space="preserve"> </w:t>
      </w:r>
      <w:r>
        <w:t xml:space="preserve">‘any malignancy’</w:t>
      </w:r>
      <w:r>
        <w:t xml:space="preserve"> </w:t>
      </w:r>
      <w:r>
        <w:t xml:space="preserve">under Charlson,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will map</w:t>
      </w:r>
      <w:r>
        <w:t xml:space="preserve"> </w:t>
      </w:r>
      <w:r>
        <w:t xml:space="preserve">C189NOTACODE to the condition bemuse the string starts with C18.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will not map the invalid string to a condition. Further,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implementation is computationally more efficient, Figure 3, requiring less time</w:t>
      </w:r>
      <w:r>
        <w:t xml:space="preserve"> </w:t>
      </w:r>
      <w:r>
        <w:t xml:space="preserve">to compute.</w:t>
      </w:r>
      <w:r>
        <w:t xml:space="preserve"> </w:t>
      </w:r>
      <w:r>
        <w:rPr>
          <w:b/>
          <w:bCs/>
        </w:rPr>
        <w:t xml:space="preserve">TODO: WHERE IN THE SUPPLEMENT????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also 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8"/>
    <w:bookmarkStart w:id="20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initially developed to support the implementation of Pediatric</w:t>
      </w:r>
      <w:r>
        <w:t xml:space="preserve"> </w:t>
      </w:r>
      <w:r>
        <w:t xml:space="preserve">Complex Chronic Conditions (PCCC) versions 3</w:t>
      </w:r>
      <w:r>
        <w:t xml:space="preserve"> </w:t>
      </w:r>
      <w:r>
        <w:t xml:space="preserve">[3]</w:t>
      </w:r>
      <w:r>
        <w:t xml:space="preserve"> </w:t>
      </w:r>
      <w:r>
        <w:t xml:space="preserve">and 2</w:t>
      </w:r>
      <w:r>
        <w:t xml:space="preserve"> </w:t>
      </w:r>
      <w:r>
        <w:t xml:space="preserve">[4]</w:t>
      </w:r>
      <w:r>
        <w:t xml:space="preserve">. During this work, it became clear that accurate and</w:t>
      </w:r>
      <w:r>
        <w:t xml:space="preserve"> </w:t>
      </w:r>
      <w:r>
        <w:t xml:space="preserve">reproducible PCCC classification required access to a comprehensive,</w:t>
      </w:r>
      <w:r>
        <w:t xml:space="preserve"> </w:t>
      </w:r>
      <w:r>
        <w:t xml:space="preserve">version-aware ICD database, which was subsequently developed and incorporated</w:t>
      </w:r>
      <w:r>
        <w:t xml:space="preserve"> </w:t>
      </w:r>
      <w:r>
        <w:t xml:space="preserve">into the package. Designing a general framework to support multiple PCCC</w:t>
      </w:r>
      <w:r>
        <w:t xml:space="preserve"> </w:t>
      </w:r>
      <w:r>
        <w:t xml:space="preserve">versions naturally enabled extension to additional comorbidity algorithms,</w:t>
      </w:r>
      <w:r>
        <w:t xml:space="preserve"> </w:t>
      </w:r>
      <w:r>
        <w:t xml:space="preserve">including Charlson and Elixhauser.</w:t>
      </w:r>
    </w:p>
    <w:p>
      <w:pPr>
        <w:pStyle w:val="BodyText"/>
      </w:pPr>
      <w:r>
        <w:t xml:space="preserve">A primary design requirement was that the package be fully self-contained and</w:t>
      </w:r>
      <w:r>
        <w:t xml:space="preserve"> </w:t>
      </w:r>
      <w:r>
        <w:t xml:space="preserve">deployable in restricted computing environments, including systems with limited</w:t>
      </w:r>
      <w:r>
        <w:t xml:space="preserve"> </w:t>
      </w:r>
      <w:r>
        <w:t xml:space="preserve">internet access and/or tightly controlled software installations. Relying only</w:t>
      </w:r>
      <w:r>
        <w:t xml:space="preserve"> </w:t>
      </w:r>
      <w:r>
        <w:t xml:space="preserve">on base R ensures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can be installed and used wherever R ≥ 3.5.0</w:t>
      </w:r>
      <w:r>
        <w:t xml:space="preserve"> </w:t>
      </w:r>
      <w:r>
        <w:t xml:space="preserve">is available. Additionally, R versions and namespace dependency trees are</w:t>
      </w:r>
      <w:r>
        <w:t xml:space="preserve"> </w:t>
      </w:r>
      <w:r>
        <w:t xml:space="preserve">common barriers to reproducible research.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with no additional</w:t>
      </w:r>
      <w:r>
        <w:t xml:space="preserve"> </w:t>
      </w:r>
      <w:r>
        <w:t xml:space="preserve">namespace requirements, avoids dependency version conflicts that often undermine</w:t>
      </w:r>
      <w:r>
        <w:t xml:space="preserve"> </w:t>
      </w:r>
      <w:r>
        <w:t xml:space="preserve">reproducibility, addressing a common but under-discussed barrier to reproducible</w:t>
      </w:r>
      <w:r>
        <w:t xml:space="preserve"> </w:t>
      </w:r>
      <w:r>
        <w:t xml:space="preserve">clinical research.</w:t>
      </w:r>
    </w:p>
    <w:p>
      <w:pPr>
        <w:pStyle w:val="BodyText"/>
      </w:pPr>
      <w:r>
        <w:t xml:space="preserve">Beyond deployment considerations,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addresses a substantive</w:t>
      </w:r>
      <w:r>
        <w:t xml:space="preserve"> </w:t>
      </w:r>
      <w:r>
        <w:t xml:space="preserve">methodological gap in existing comorbidity software: the lack of support for</w:t>
      </w:r>
      <w:r>
        <w:t xml:space="preserve"> </w:t>
      </w:r>
      <w:r>
        <w:t xml:space="preserve">longitudinal comorbidity assessment. Most available implementations operate</w:t>
      </w:r>
      <w:r>
        <w:t xml:space="preserve"> </w:t>
      </w:r>
      <w:r>
        <w:t xml:space="preserve">strictly at the encounter level, implicitly assuming that comorbid conditions</w:t>
      </w:r>
      <w:r>
        <w:t xml:space="preserve"> </w:t>
      </w:r>
      <w:r>
        <w:t xml:space="preserve">are either repeatedly coded or clinically irrelevant once absent from the</w:t>
      </w:r>
      <w:r>
        <w:t xml:space="preserve"> </w:t>
      </w:r>
      <w:r>
        <w:t xml:space="preserve">current record. As demonstrated in Table 2, this assumption can lead to</w:t>
      </w:r>
      <w:r>
        <w:t xml:space="preserve"> </w:t>
      </w:r>
      <w:r>
        <w:t xml:space="preserve">systematic under-ascertainment of comorbidities, particularly for conditions</w:t>
      </w:r>
      <w:r>
        <w:t xml:space="preserve"> </w:t>
      </w:r>
      <w:r>
        <w:t xml:space="preserve">governed by POA rules or technology-dependent classification criteria. By</w:t>
      </w:r>
      <w:r>
        <w:t xml:space="preserve"> </w:t>
      </w:r>
      <w:r>
        <w:t xml:space="preserve">explicitly tracking diagnostic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enables</w:t>
      </w:r>
      <w:r>
        <w:t xml:space="preserve"> </w:t>
      </w:r>
      <w:r>
        <w:t xml:space="preserve">comorbidity flagging that supports analyses incorporating prior observed</w:t>
      </w:r>
      <w:r>
        <w:t xml:space="preserve"> </w:t>
      </w:r>
      <w:r>
        <w:t xml:space="preserve">diagnoses under an explicit carry-forward assumption.</w:t>
      </w:r>
    </w:p>
    <w:p>
      <w:pPr>
        <w:pStyle w:val="BodyText"/>
      </w:pPr>
      <w:r>
        <w:t xml:space="preserve">The cumulative flags do require some careful consideration and interpretations.</w:t>
      </w:r>
      <w:r>
        <w:t xml:space="preserve"> </w:t>
      </w:r>
      <w:r>
        <w:t xml:space="preserve">For a chronic disease, such as non-gestational diabetes, indefinite carry-forward of the</w:t>
      </w:r>
      <w:r>
        <w:t xml:space="preserve"> </w:t>
      </w:r>
      <w:r>
        <w:t xml:space="preserve">conditions seems reasonable. The ICD-10 categories of E08, E09, E10, E11, E12</w:t>
      </w:r>
      <w:r>
        <w:t xml:space="preserve"> </w:t>
      </w:r>
      <w:r>
        <w:t xml:space="preserve">as listed in</w:t>
      </w:r>
      <w:r>
        <w:t xml:space="preserve"> </w:t>
      </w:r>
      <w:r>
        <w:t xml:space="preserve">[1]</w:t>
      </w:r>
      <w:r>
        <w:t xml:space="preserve">, are all for chronic, or at least persistent, diabetes</w:t>
      </w:r>
      <w:r>
        <w:t xml:space="preserve"> </w:t>
      </w:r>
      <w:r>
        <w:t xml:space="preserve">and it would be reasonable to carry-forward the flag for uncomplicated diabetes.</w:t>
      </w:r>
      <w:r>
        <w:t xml:space="preserve"> </w:t>
      </w:r>
      <w:r>
        <w:t xml:space="preserve">But, if the AHRQ ICD-10 codes for fiscal year 2022 or beyond are used,</w:t>
      </w:r>
      <w:r>
        <w:t xml:space="preserve"> </w:t>
      </w:r>
      <w:r>
        <w:t xml:space="preserve">a similar set of ICD-10 codes map to uncomplicated diabetes, but so do codes</w:t>
      </w:r>
      <w:r>
        <w:t xml:space="preserve"> </w:t>
      </w:r>
      <w:r>
        <w:t xml:space="preserve">under the ICD-10 O24 category for gestational diabetes, an acute condition.</w:t>
      </w:r>
      <w:r>
        <w:t xml:space="preserve"> </w:t>
      </w:r>
      <w:r>
        <w:t xml:space="preserve">Since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carries forward the conditions and not the individual ICD</w:t>
      </w:r>
      <w:r>
        <w:t xml:space="preserve"> </w:t>
      </w:r>
      <w:r>
        <w:t xml:space="preserve">codes it is not possible from the output to discern if the uncomplicated</w:t>
      </w:r>
      <w:r>
        <w:t xml:space="preserve"> </w:t>
      </w:r>
      <w:r>
        <w:t xml:space="preserve">diabetes being carry forward in time is due to gestational or non-gestational</w:t>
      </w:r>
      <w:r>
        <w:t xml:space="preserve"> </w:t>
      </w:r>
      <w:r>
        <w:t xml:space="preserve">diabetes.</w:t>
      </w:r>
      <w:r>
        <w:t xml:space="preserve"> </w:t>
      </w:r>
      <w:r>
        <w:t xml:space="preserve">Thus, the</w:t>
      </w:r>
      <w:r>
        <w:t xml:space="preserve"> </w:t>
      </w:r>
      <w:r>
        <w:rPr>
          <w:rStyle w:val="VerbatimChar"/>
        </w:rPr>
        <w:t xml:space="preserve">flag.method = 'cumulative'</w:t>
      </w:r>
      <w:r>
        <w:t xml:space="preserve"> </w:t>
      </w:r>
      <w:r>
        <w:t xml:space="preserve">may be a reasonable utility for</w:t>
      </w:r>
      <w:r>
        <w:t xml:space="preserve"> </w:t>
      </w:r>
      <w:r>
        <w:rPr>
          <w:rStyle w:val="VerbatimChar"/>
        </w:rPr>
        <w:t xml:space="preserve">method = 'charlson_quan2005'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 = 'elixhauser_quan2005'</w:t>
      </w:r>
      <w:r>
        <w:t xml:space="preserve"> </w:t>
      </w:r>
      <w:r>
        <w:t xml:space="preserve">but not for</w:t>
      </w:r>
      <w:r>
        <w:t xml:space="preserve"> </w:t>
      </w:r>
      <w:r>
        <w:rPr>
          <w:rStyle w:val="VerbatimChar"/>
        </w:rPr>
        <w:t xml:space="preserve">method = 'elixhauser_ahrq2022'</w:t>
      </w:r>
      <w:r>
        <w:t xml:space="preserve">.</w:t>
      </w:r>
    </w:p>
    <w:p>
      <w:pPr>
        <w:pStyle w:val="BodyText"/>
      </w:pPr>
      <w:r>
        <w:t xml:space="preserve">Another example for when carry forward can have some utility, but with caveats,</w:t>
      </w:r>
      <w:r>
        <w:t xml:space="preserve"> </w:t>
      </w:r>
      <w:r>
        <w:t xml:space="preserve">is a malignant tumor. Say a patient has C18.2</w:t>
      </w:r>
      <w:r>
        <w:t xml:space="preserve"> </w:t>
      </w:r>
      <w:r>
        <w:t xml:space="preserve">“malignant neoplasm of the colon”</w:t>
      </w:r>
      <w:r>
        <w:t xml:space="preserve"> </w:t>
      </w:r>
      <w:r>
        <w:t xml:space="preserve">and later, on an encounter without the C18.2 code Z85.030</w:t>
      </w:r>
      <w:r>
        <w:t xml:space="preserve"> </w:t>
      </w:r>
      <w:r>
        <w:t xml:space="preserve">“personal history of</w:t>
      </w:r>
      <w:r>
        <w:t xml:space="preserve"> </w:t>
      </w:r>
      <w:r>
        <w:t xml:space="preserve">malignant carcinoid tumor of large intestine.”</w:t>
      </w:r>
      <w:r>
        <w:t xml:space="preserve"> </w:t>
      </w:r>
      <w:r>
        <w:t xml:space="preserve">For this subject, the</w:t>
      </w:r>
      <w:r>
        <w:t xml:space="preserve"> </w:t>
      </w:r>
      <w:r>
        <w:t xml:space="preserve">indefinite carry forward flag for a malignancy would be a</w:t>
      </w:r>
      <w:r>
        <w:t xml:space="preserve"> </w:t>
      </w:r>
      <w:r>
        <w:t xml:space="preserve">“current or history of</w:t>
      </w:r>
      <w:r>
        <w:t xml:space="preserve"> </w:t>
      </w:r>
      <w:r>
        <w:t xml:space="preserve">malignancy”</w:t>
      </w:r>
      <w:r>
        <w:t xml:space="preserve"> </w:t>
      </w:r>
      <w:r>
        <w:t xml:space="preserve">flag instead of a</w:t>
      </w:r>
      <w:r>
        <w:t xml:space="preserve"> </w:t>
      </w:r>
      <w:r>
        <w:t xml:space="preserve">“current malignancy”</w:t>
      </w:r>
      <w:r>
        <w:t xml:space="preserve"> </w:t>
      </w:r>
      <w:r>
        <w:t xml:space="preserve">flag that the encounter-level</w:t>
      </w:r>
      <w:r>
        <w:t xml:space="preserve"> </w:t>
      </w:r>
      <w:r>
        <w:t xml:space="preserve">flag alone provides. The notable caveat here is that the Z85.030 is not part of</w:t>
      </w:r>
      <w:r>
        <w:t xml:space="preserve"> </w:t>
      </w:r>
      <w:r>
        <w:t xml:space="preserve">any of the established comorbidity methods and the</w:t>
      </w:r>
      <w:r>
        <w:t xml:space="preserve"> </w:t>
      </w:r>
      <w:r>
        <w:t xml:space="preserve">“current or history of</w:t>
      </w:r>
      <w:r>
        <w:t xml:space="preserve"> </w:t>
      </w:r>
      <w:r>
        <w:t xml:space="preserve">malignancy”</w:t>
      </w:r>
      <w:r>
        <w:t xml:space="preserve"> </w:t>
      </w:r>
      <w:r>
        <w:t xml:space="preserve">would have false negatives for encounters with Z85.030 preceding</w:t>
      </w:r>
      <w:r>
        <w:t xml:space="preserve"> </w:t>
      </w:r>
      <w:r>
        <w:t xml:space="preserve">encounters with relevant ICD codes for a present malignancy. Thus, the</w:t>
      </w:r>
      <w:r>
        <w:t xml:space="preserve"> </w:t>
      </w:r>
      <w:r>
        <w:t xml:space="preserve">longitudinal flags for malignancy should be considered</w:t>
      </w:r>
      <w:r>
        <w:t xml:space="preserve"> </w:t>
      </w:r>
      <w:r>
        <w:t xml:space="preserve">“current, or history of,</w:t>
      </w:r>
      <w:r>
        <w:t xml:space="preserve"> </w:t>
      </w:r>
      <w:r>
        <w:t xml:space="preserve">observed disease.”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introduces opportunities for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Extensive 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algorithms while offering additional flexibility. Automated testing of the</w:t>
      </w:r>
      <w:r>
        <w:t xml:space="preserve"> </w:t>
      </w:r>
      <w:r>
        <w:t xml:space="preserve">internal and user-facing functions (</w:t>
      </w:r>
      <w:r>
        <w:rPr>
          <w:b/>
          <w:bCs/>
        </w:rPr>
        <w:t xml:space="preserve">TODO: UPDATE</w:t>
      </w:r>
      <w:r>
        <w:t xml:space="preserve"> </w:t>
      </w:r>
      <w:r>
        <w:t xml:space="preserve">97% code lines covered 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v0.8.0) ensures consistent and reliable behavior of the package.</w:t>
      </w:r>
    </w:p>
    <w:p>
      <w:pPr>
        <w:pStyle w:val="BodyText"/>
      </w:pPr>
      <w:r>
        <w:t xml:space="preserve">To our knowledge, no currently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accurately</w:t>
      </w:r>
      <w:r>
        <w:t xml:space="preserve"> </w:t>
      </w:r>
      <w:r>
        <w:t xml:space="preserve">characterize patient complexity and to systematically evaluate how different</w:t>
      </w:r>
      <w:r>
        <w:t xml:space="preserve"> </w:t>
      </w:r>
      <w:r>
        <w:t xml:space="preserve">comorbidity definitions influence analytic results.</w:t>
      </w:r>
    </w:p>
    <w:bookmarkStart w:id="19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fully self-contained R package with a detailed and robust</w:t>
      </w:r>
      <w:r>
        <w:t xml:space="preserve"> </w:t>
      </w:r>
      <w:r>
        <w:t xml:space="preserve">internal ICD database that can efficiently apply many comorbidity algorithms to</w:t>
      </w:r>
      <w:r>
        <w:t xml:space="preserve"> </w:t>
      </w:r>
      <w:r>
        <w:t xml:space="preserve">a dataset while accounting for ICD-version, ICD-type, POA, primary diagnosis,</w:t>
      </w:r>
      <w:r>
        <w:t xml:space="preserve"> </w:t>
      </w:r>
      <w:r>
        <w:t xml:space="preserve">and full and compact ICD codes. Flagging codes can be done for individual</w:t>
      </w:r>
      <w:r>
        <w:t xml:space="preserve"> </w:t>
      </w:r>
      <w:r>
        <w:t xml:space="preserve">patient encounters,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1.9.37</w:t>
      </w:r>
      <w:r>
        <w:t xml:space="preserve"> </w:t>
      </w:r>
      <w:r>
        <w:t xml:space="preserve">(https://quarto.org/) and R version 4.6.1 (2026-06-24).</w:t>
      </w:r>
      <w:r>
        <w:t xml:space="preserve"> </w:t>
      </w:r>
      <w:r>
        <w:t xml:space="preserve">All R code, materials, 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9"/>
    <w:bookmarkEnd w:id="20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22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21">
        <w:r>
          <w:rPr>
            <w:rStyle w:val="Hyperlink"/>
          </w:rPr>
          <w:t xml:space="preserve">10.1097/01.mlr.0000182534.19832.83</w:t>
        </w:r>
      </w:hyperlink>
    </w:p>
    <w:bookmarkEnd w:id="22"/>
    <w:bookmarkStart w:id="24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23">
        <w:r>
          <w:rPr>
            <w:rStyle w:val="Hyperlink"/>
          </w:rPr>
          <w:t xml:space="preserve">10.1093/aje/kwq433</w:t>
        </w:r>
      </w:hyperlink>
    </w:p>
    <w:bookmarkEnd w:id="24"/>
    <w:bookmarkStart w:id="26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5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6"/>
    <w:bookmarkStart w:id="28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8"/>
    <w:bookmarkStart w:id="30" w:name="ref-ahrq2025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Healthcare Research A for, (AHRQ) Q.</w:t>
      </w:r>
      <w:r>
        <w:t xml:space="preserve"> </w:t>
      </w:r>
      <w:hyperlink r:id="rId29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30"/>
    <w:bookmarkStart w:id="32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1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32"/>
    <w:bookmarkStart w:id="34" w:name="ref-ludvigsson2021adaptation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2021;21–41. doi:</w:t>
      </w:r>
      <w:r>
        <w:t xml:space="preserve"> </w:t>
      </w:r>
      <w:hyperlink r:id="rId33">
        <w:r>
          <w:rPr>
            <w:rStyle w:val="Hyperlink"/>
          </w:rPr>
          <w:t xml:space="preserve">https://doi.org/10.2147/CLEP.S282475</w:t>
        </w:r>
      </w:hyperlink>
    </w:p>
    <w:bookmarkEnd w:id="34"/>
    <w:bookmarkStart w:id="36" w:name="ref-ludvigsson2023adapt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 [corrigendum].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2023;15:753–4. doi:</w:t>
      </w:r>
      <w:r>
        <w:t xml:space="preserve"> </w:t>
      </w:r>
      <w:hyperlink r:id="rId35">
        <w:r>
          <w:rPr>
            <w:rStyle w:val="Hyperlink"/>
          </w:rPr>
          <w:t xml:space="preserve">https://doi.org/10.2147/clep.s425901</w:t>
        </w:r>
      </w:hyperlink>
    </w:p>
    <w:bookmarkEnd w:id="36"/>
    <w:bookmarkStart w:id="37" w:name="ref-yurkovich2015systematic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7"/>
    <w:bookmarkStart w:id="38" w:name="ref-guo2022evaluation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8"/>
    <w:bookmarkStart w:id="39" w:name="ref-li2008risk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9"/>
    <w:bookmarkStart w:id="41" w:name="ref-r-comorbidity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40">
        <w:r>
          <w:rPr>
            <w:rStyle w:val="Hyperlink"/>
          </w:rPr>
          <w:t xml:space="preserve">10.21105/joss.00648</w:t>
        </w:r>
      </w:hyperlink>
    </w:p>
    <w:bookmarkEnd w:id="41"/>
    <w:bookmarkStart w:id="43" w:name="ref-dewitt2026pccc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43"/>
    <w:bookmarkStart w:id="44" w:name="ref-pcccv3sas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4"/>
    <w:bookmarkStart w:id="46" w:name="ref-r-icdcomorbid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6"/>
    <w:bookmarkStart w:id="48" w:name="ref-r-multimorbid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7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8"/>
    <w:bookmarkStart w:id="49" w:name="ref-hripcsak2013next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9"/>
    <w:bookmarkStart w:id="50" w:name="ref-casey2016using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50"/>
    <w:bookmarkStart w:id="51" w:name="ref-jensen2014temporal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51"/>
    <w:bookmarkStart w:id="52" w:name="ref-ahrq2017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52"/>
    <w:bookmarkStart w:id="54" w:name="ref-feinstein2018pccc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3">
        <w:r>
          <w:rPr>
            <w:rStyle w:val="Hyperlink"/>
          </w:rPr>
          <w:t xml:space="preserve">10.1001/jamapediatrics.2018.0256</w:t>
        </w:r>
      </w:hyperlink>
    </w:p>
    <w:bookmarkEnd w:id="54"/>
    <w:bookmarkStart w:id="55" w:name="ref-johnson2018mimic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5"/>
    <w:bookmarkStart w:id="57" w:name="ref-johnson2022mimiccode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6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7"/>
    <w:bookmarkStart w:id="58" w:name="ref-watson2025trends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8"/>
    <w:bookmarkStart w:id="60" w:name="ref-r-data.table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Barrett T, Dowle M, Srinivasan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  <w:i/>
            <w:iCs/>
          </w:rPr>
          <w:t xml:space="preserve">Data.table: Extension of ‘data.frame‘</w:t>
        </w:r>
      </w:hyperlink>
      <w:r>
        <w:t xml:space="preserve">. 2025.</w:t>
      </w:r>
    </w:p>
    <w:bookmarkEnd w:id="60"/>
    <w:bookmarkStart w:id="62" w:name="ref-r-dplyr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Wickham H, François R, Henry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1">
        <w:r>
          <w:rPr>
            <w:rStyle w:val="Hyperlink"/>
            <w:i/>
            <w:iCs/>
          </w:rPr>
          <w:t xml:space="preserve">Dplyr: A grammar of data manipulation</w:t>
        </w:r>
      </w:hyperlink>
      <w:r>
        <w:t xml:space="preserve">. 2023.</w:t>
      </w:r>
    </w:p>
    <w:bookmarkEnd w:id="62"/>
    <w:bookmarkStart w:id="63" w:name="ref-beyrer2021validation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Beyrer J, Manjelievskaia J, Bonafede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Validation of an international classification of disease, 10th revision coding adaptation for the charlson comorbidity index in united states healthcare claims data.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 2021;30:582–93.</w:t>
      </w:r>
    </w:p>
    <w:bookmarkEnd w:id="63"/>
    <w:bookmarkStart w:id="65" w:name="ref-PhysioNet-mimiciv-3.1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4">
        <w:r>
          <w:rPr>
            <w:rStyle w:val="Hyperlink"/>
          </w:rPr>
          <w:t xml:space="preserve">10.13026/kpb9-mt58</w:t>
        </w:r>
      </w:hyperlink>
    </w:p>
    <w:bookmarkEnd w:id="65"/>
    <w:bookmarkStart w:id="66" w:name="ref-johnson2023mimic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6"/>
    <w:bookmarkStart w:id="68" w:name="ref-PhysioNet2000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7">
        <w:r>
          <w:rPr>
            <w:rStyle w:val="Hyperlink"/>
          </w:rPr>
          <w:t xml:space="preserve">10.1161/01.cir.101.23.e215</w:t>
        </w:r>
      </w:hyperlink>
    </w:p>
    <w:bookmarkEnd w:id="68"/>
    <w:bookmarkEnd w:id="69"/>
    <w:p>
      <w:r>
        <w:br w:type="page"/>
      </w:r>
    </w:p>
    <w:bookmarkEnd w:id="70"/>
    <w:bookmarkStart w:id="71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The bars are not mutually exclusive.</w:t>
      </w:r>
      <w:r>
        <w:t xml:space="preserve"> </w:t>
      </w:r>
      <w:r>
        <w:t xml:space="preserve">“Different risk</w:t>
      </w:r>
      <w:r>
        <w:t xml:space="preserve"> </w:t>
      </w:r>
      <w:r>
        <w:t xml:space="preserve">profile”</w:t>
      </w:r>
      <w:r>
        <w:t xml:space="preserve"> </w:t>
      </w:r>
      <w:r>
        <w:t xml:space="preserve">is an aggregation measure indicating any difference in the comorbidity</w:t>
      </w:r>
      <w:r>
        <w:t xml:space="preserve"> </w:t>
      </w:r>
      <w:r>
        <w:t xml:space="preserve">classification or count between cumulative and current flagging. The remaining</w:t>
      </w:r>
      <w:r>
        <w:t xml:space="preserve"> </w:t>
      </w:r>
      <w:r>
        <w:t xml:space="preserve">bars described selected components of that aggregate including encounters with</w:t>
      </w:r>
      <w:r>
        <w:t xml:space="preserve"> </w:t>
      </w:r>
      <w:r>
        <w:t xml:space="preserve">no encounter-level comorbidity but at least one cumulative comorbidity,</w:t>
      </w:r>
      <w:r>
        <w:t xml:space="preserve"> </w:t>
      </w:r>
      <w:r>
        <w:t xml:space="preserve">classification/severity differences with the same comorbidity count, and</w:t>
      </w:r>
      <w:r>
        <w:t xml:space="preserve"> </w:t>
      </w:r>
      <w:r>
        <w:t xml:space="preserve">differences involving additional comorbidities. Panel (A) uses subjects with at</w:t>
      </w:r>
      <w:r>
        <w:t xml:space="preserve"> </w:t>
      </w:r>
      <w:r>
        <w:t xml:space="preserve">least two encounters and at least one comorbidity flagged on encounter 2 as the</w:t>
      </w:r>
      <w:r>
        <w:t xml:space="preserve"> </w:t>
      </w:r>
      <w:r>
        <w:t xml:space="preserve">denominator. Panel (B) uses non-initial encounters with at least one comorbidity</w:t>
      </w:r>
      <w:r>
        <w:t xml:space="preserve"> </w:t>
      </w:r>
      <w:r>
        <w:t xml:space="preserve">flagged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illustrating the limited comorbidities method provided by the utility. The</w:t>
      </w:r>
      <w:r>
        <w:t xml:space="preserve"> </w:t>
      </w:r>
      <w:r>
        <w:t xml:space="preserve">times were recorded when building the supplement in R version 4.6.1 (2026-06-24) on</w:t>
      </w:r>
      <w:r>
        <w:t xml:space="preserve"> </w:t>
      </w:r>
      <w:r>
        <w:t xml:space="preserve">macOS Tahoe 26.5.1 with a Apple M5 Pro and 48.0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160.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0.7 to</w:t>
      </w:r>
      <w:r>
        <w:t xml:space="preserve"> </w:t>
      </w:r>
      <w:r>
        <w:t xml:space="preserve">3.8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16.8 seconds for Charlson,</w:t>
      </w:r>
      <w:r>
        <w:t xml:space="preserve"> </w:t>
      </w:r>
      <w:r>
        <w:t xml:space="preserve">26.7 seconds for Elixhauser. The MIMIC-IV code panel shows a</w:t>
      </w:r>
      <w:r>
        <w:t xml:space="preserve"> </w:t>
      </w:r>
      <w:r>
        <w:t xml:space="preserve">single Charlson result at about 34.7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72 seconds for current</w:t>
      </w:r>
      <w:r>
        <w:t xml:space="preserve"> </w:t>
      </w:r>
      <w:r>
        <w:t xml:space="preserve">flagging. The times were recorded when building the supplement in</w:t>
      </w:r>
      <w:r>
        <w:t xml:space="preserve"> </w:t>
      </w:r>
      <w:r>
        <w:t xml:space="preserve">R version 4.6.1 (2026-06-24) on macOS Tahoe 26.5.1 with a Apple M5 Pro and</w:t>
      </w:r>
      <w:r>
        <w:t xml:space="preserve"> </w:t>
      </w:r>
      <w:r>
        <w:t xml:space="preserve">48.0 GB RAM.</w:t>
      </w:r>
    </w:p>
    <w:bookmarkEnd w:id="71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https://github.com/dewittpe/medicalcoder/tree/main/testing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test directory within the source medicalcoder_&lt;version&gt;.tar.gz</w:t>
      </w:r>
      <w:r>
        <w:t xml:space="preserve"> </w:t>
      </w:r>
      <w:r>
        <w:t xml:space="preserve">contains these tests, which are checked prior to CRAN submissions. Details on</w:t>
      </w:r>
      <w:r>
        <w:t xml:space="preserve"> </w:t>
      </w:r>
      <w:r>
        <w:t xml:space="preserve">building the expected output from AHRQ via SAS is found here:</w:t>
      </w:r>
      <w:r>
        <w:t xml:space="preserve"> </w:t>
      </w:r>
      <w:r>
        <w:t xml:space="preserve">https://github.com/dewittpe/medicalcoder/blob/main/tests/build-expected-ahrq-results/README.md.</w:t>
      </w:r>
    </w:p>
  </w:footnote>
  <w:footnote w:id="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https://www.peteredewitt.com/medicalcoder/articles/medicalcoder-vs-mimic.html</w:t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https://github.com/MIT-LCP/mimic-code.git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53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0" Target="https://doi.org/10.21105/joss.00648" TargetMode="External" /><Relationship Type="http://schemas.openxmlformats.org/officeDocument/2006/relationships/hyperlink" Id="rId33" Target="https://doi.org/10.2147/CLEP.S282475" TargetMode="External" /><Relationship Type="http://schemas.openxmlformats.org/officeDocument/2006/relationships/hyperlink" Id="rId35" Target="https://doi.org/10.2147/clep.s425901" TargetMode="External" /><Relationship Type="http://schemas.openxmlformats.org/officeDocument/2006/relationships/hyperlink" Id="rId59" Target="https://doi.org/10.32614/CRAN.package.data.table" TargetMode="External" /><Relationship Type="http://schemas.openxmlformats.org/officeDocument/2006/relationships/hyperlink" Id="rId61" Target="https://doi.org/10.32614/CRAN.package.dplyr" TargetMode="External" /><Relationship Type="http://schemas.openxmlformats.org/officeDocument/2006/relationships/hyperlink" Id="rId45" Target="https://doi.org/10.32614/CRAN.package.icdcomorbid" TargetMode="External" /><Relationship Type="http://schemas.openxmlformats.org/officeDocument/2006/relationships/hyperlink" Id="rId47" Target="https://doi.org/10.32614/CRAN.package.multimorbidity" TargetMode="External" /><Relationship Type="http://schemas.openxmlformats.org/officeDocument/2006/relationships/hyperlink" Id="rId56" Target="https://doi.org/10.5281/zenodo.6818823" TargetMode="External" /><Relationship Type="http://schemas.openxmlformats.org/officeDocument/2006/relationships/hyperlink" Id="rId42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001/jamanetworkopen.2024.20579" TargetMode="External" /><Relationship Type="http://schemas.openxmlformats.org/officeDocument/2006/relationships/hyperlink" Id="rId53" Target="https://doi.org/10.1001/jamapediatrics.2018.0256" TargetMode="External" /><Relationship Type="http://schemas.openxmlformats.org/officeDocument/2006/relationships/hyperlink" Id="rId23" Target="https://doi.org/10.1093/aje/kwq433" TargetMode="External" /><Relationship Type="http://schemas.openxmlformats.org/officeDocument/2006/relationships/hyperlink" Id="rId21" Target="https://doi.org/10.1097/01.mlr.0000182534.19832.83" TargetMode="External" /><Relationship Type="http://schemas.openxmlformats.org/officeDocument/2006/relationships/hyperlink" Id="rId67" Target="https://doi.org/10.1161/01.cir.101.23.e215" TargetMode="External" /><Relationship Type="http://schemas.openxmlformats.org/officeDocument/2006/relationships/hyperlink" Id="rId27" Target="https://doi.org/10.1186/1471-2431-14-199" TargetMode="External" /><Relationship Type="http://schemas.openxmlformats.org/officeDocument/2006/relationships/hyperlink" Id="rId64" Target="https://doi.org/10.13026/kpb9-mt58" TargetMode="External" /><Relationship Type="http://schemas.openxmlformats.org/officeDocument/2006/relationships/hyperlink" Id="rId40" Target="https://doi.org/10.21105/joss.00648" TargetMode="External" /><Relationship Type="http://schemas.openxmlformats.org/officeDocument/2006/relationships/hyperlink" Id="rId33" Target="https://doi.org/10.2147/CLEP.S282475" TargetMode="External" /><Relationship Type="http://schemas.openxmlformats.org/officeDocument/2006/relationships/hyperlink" Id="rId35" Target="https://doi.org/10.2147/clep.s425901" TargetMode="External" /><Relationship Type="http://schemas.openxmlformats.org/officeDocument/2006/relationships/hyperlink" Id="rId59" Target="https://doi.org/10.32614/CRAN.package.data.table" TargetMode="External" /><Relationship Type="http://schemas.openxmlformats.org/officeDocument/2006/relationships/hyperlink" Id="rId61" Target="https://doi.org/10.32614/CRAN.package.dplyr" TargetMode="External" /><Relationship Type="http://schemas.openxmlformats.org/officeDocument/2006/relationships/hyperlink" Id="rId45" Target="https://doi.org/10.32614/CRAN.package.icdcomorbid" TargetMode="External" /><Relationship Type="http://schemas.openxmlformats.org/officeDocument/2006/relationships/hyperlink" Id="rId47" Target="https://doi.org/10.32614/CRAN.package.multimorbidity" TargetMode="External" /><Relationship Type="http://schemas.openxmlformats.org/officeDocument/2006/relationships/hyperlink" Id="rId56" Target="https://doi.org/10.5281/zenodo.6818823" TargetMode="External" /><Relationship Type="http://schemas.openxmlformats.org/officeDocument/2006/relationships/hyperlink" Id="rId42" Target="https://github.com/CUD2V/pccc" TargetMode="External" /><Relationship Type="http://schemas.openxmlformats.org/officeDocument/2006/relationships/hyperlink" Id="rId29" Target="https://hcup-us.ahrq.gov/toolssoftware/comorbidityicd10/comorbidity_icd10.jsp" TargetMode="External" /><Relationship Type="http://schemas.openxmlformats.org/officeDocument/2006/relationships/hyperlink" Id="rId31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2026-07-09T18:19:33Z</dcterms:created>
  <dcterms:modified xsi:type="dcterms:W3CDTF">2026-07-09T18:19:33Z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