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1967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2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yet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 (but not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 id.vars is optional: if</w:t>
      </w:r>
      <w:r>
        <w:t xml:space="preserve"> </w:t>
      </w:r>
      <w:r>
        <w:t xml:space="preserve">omitted, the entire dataset is treated as a single encounter and a single row of</w:t>
      </w:r>
      <w:r>
        <w:t xml:space="preserve"> </w:t>
      </w:r>
      <w:r>
        <w:t xml:space="preserve">flags is 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</w:t>
      </w:r>
      <w:r>
        <w:t xml:space="preserve"> </w:t>
      </w:r>
      <w:r>
        <w:t xml:space="preserve">and class consistent with the input. The returned data frame contains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columns and an indicator column for each comorbidity.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2.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t xml:space="preserve">In addition to the comorbidity interface, medicalcoder provides several ICD</w:t>
      </w:r>
      <w:r>
        <w:t xml:space="preserve"> </w:t>
      </w:r>
      <w:r>
        <w:t xml:space="preserve">utility functions designed to support data preparation and validation workflows.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</w:t>
      </w:r>
      <w:r>
        <w:t xml:space="preserve"> </w:t>
      </w:r>
      <w:r>
        <w:t xml:space="preserve">and allows users to retrieve diagnostic or procedure codes by version, type, and</w:t>
      </w:r>
      <w:r>
        <w:t xml:space="preserve"> </w:t>
      </w:r>
      <w:r>
        <w:t xml:space="preserve">code range. The function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provides fast validation of</w:t>
      </w:r>
      <w:r>
        <w:t xml:space="preserve"> </w:t>
      </w:r>
      <w:r>
        <w:t xml:space="preserve">candidate ICD codes, supporting both full and compact representations and mixed</w:t>
      </w:r>
      <w:r>
        <w:t xml:space="preserve"> </w:t>
      </w:r>
      <w:r>
        <w:t xml:space="preserve">ICD-9/ICD-10 datasets. These utilities enable users to inspect and verify ICD</w:t>
      </w:r>
      <w:r>
        <w:t xml:space="preserve"> </w:t>
      </w:r>
      <w:r>
        <w:t xml:space="preserve">content prior to comorbidity classification and to construct reproducible code</w:t>
      </w:r>
      <w:r>
        <w:t xml:space="preserve"> </w:t>
      </w:r>
      <w:r>
        <w:t xml:space="preserve">filters directly from the same internal database used by the comorbidity</w:t>
      </w:r>
      <w:r>
        <w:t xml:space="preserve"> </w:t>
      </w:r>
      <w:r>
        <w:t xml:space="preserve">algorithms.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 medicalcoder 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 medicalcoder,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Although the primary focus of medicalcoder is comorbidity classification, the</w:t>
      </w:r>
      <w:r>
        <w:t xml:space="preserve"> </w:t>
      </w:r>
      <w:r>
        <w:t xml:space="preserve">included ICD utility functions also address a common practical challenge in</w:t>
      </w:r>
      <w:r>
        <w:t xml:space="preserve"> </w:t>
      </w:r>
      <w:r>
        <w:t xml:space="preserve">working with administrative and electronic health record data: verifying and</w:t>
      </w:r>
      <w:r>
        <w:t xml:space="preserve"> </w:t>
      </w:r>
      <w:r>
        <w:t xml:space="preserve">manipulating large collections of ICD codes. By exposing the internal ICD</w:t>
      </w:r>
      <w:r>
        <w:t xml:space="preserve"> </w:t>
      </w:r>
      <w:r>
        <w:t xml:space="preserve">database through functions such as get_icd_codes() and providing validation via</w:t>
      </w:r>
      <w:r>
        <w:t xml:space="preserve"> </w:t>
      </w:r>
      <w:r>
        <w:t xml:space="preserve">is_icd(), medicalcoder allows analysts to perform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tables, improving</w:t>
      </w:r>
      <w:r>
        <w:t xml:space="preserve"> </w:t>
      </w:r>
      <w:r>
        <w:t xml:space="preserve">transparency and reproducibility when defining cohorts or filtering diagnosis</w:t>
      </w:r>
      <w:r>
        <w:t xml:space="preserve"> </w:t>
      </w:r>
      <w:r>
        <w:t xml:space="preserve">and procedure codes in large clinical 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 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1.8.27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each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16.0 GB RAM.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t xml:space="preserve">Four-panel grouped bar chart showing time in seconds to flag comorbidities in</w:t>
      </w:r>
      <w:r>
        <w:t xml:space="preserve"> </w:t>
      </w:r>
      <w:r>
        <w:t xml:space="preserve">the MIMIC-IV v3.1 dataset. Panels compare four utilities: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rStyle w:val="VerbatimChar"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rStyle w:val="VerbatimChar"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71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C1EDF"/>
    <w:rsid w:val="001E057D"/>
    <w:rsid w:val="003A1AFF"/>
    <w:rsid w:val="003B4E24"/>
    <w:rsid w:val="00744B3D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2026-03-15T15:07:21Z</dcterms:created>
  <dcterms:modified xsi:type="dcterms:W3CDTF">2026-03-15T15:07:21Z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