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medicalcoder: A Unified and Longitudinally Aware Framework for ICD-Based Comorbidity Assessment in R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Peter E. DeWitt</w:t>
      </w:r>
      <w:r>
        <w:rPr>
          <w:vertAlign w:val="superscript"/>
        </w:rPr>
        <w:t xml:space="preserve">1</w:t>
      </w:r>
      <w:r>
        <w:t xml:space="preserve">, PhD; Seth Russell</w:t>
      </w:r>
      <w:r>
        <w:rPr>
          <w:vertAlign w:val="superscript"/>
        </w:rPr>
        <w:t xml:space="preserve">1</w:t>
      </w:r>
      <w:r>
        <w:t xml:space="preserve">, MS; James A. Feinstein, MD, MPH</w:t>
      </w:r>
      <w:r>
        <w:rPr>
          <w:vertAlign w:val="superscript"/>
        </w:rPr>
        <w:t xml:space="preserve">2,3,4</w:t>
      </w:r>
      <w:r>
        <w:t xml:space="preserve">; Margaret N. Rebull</w:t>
      </w:r>
      <w:r>
        <w:rPr>
          <w:vertAlign w:val="superscript"/>
        </w:rPr>
        <w:t xml:space="preserve">1</w:t>
      </w:r>
      <w:r>
        <w:t xml:space="preserve">, MA; Tellen D. Bennett</w:t>
      </w:r>
      <w:r>
        <w:rPr>
          <w:vertAlign w:val="superscript"/>
        </w:rPr>
        <w:t xml:space="preserve">1,5</w:t>
      </w:r>
      <w:r>
        <w:t xml:space="preserve">, MD, MS</w:t>
      </w:r>
    </w:p>
    <w:p>
      <w:pPr>
        <w:pStyle w:val="BodyText"/>
      </w:pPr>
      <w:r>
        <w:rPr>
          <w:u w:val="single"/>
        </w:rPr>
        <w:t xml:space="preserve">Author affiliations: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Biomedical Informatics, University of Colorado School of Medicine, University of Colorado Anschutz Medical Campus, Aurora, Colorado, USA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Adult and Child Center for Outcomes Research and Delivery Science, University of Colorado Anschutz Medical Campus, Aurora.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Children’s Hospital Colorado, Aurora.</w:t>
      </w:r>
      <w:r>
        <w:br/>
      </w:r>
      <w:r>
        <w:rPr>
          <w:vertAlign w:val="superscript"/>
        </w:rPr>
        <w:t xml:space="preserve">4</w:t>
      </w:r>
      <w:r>
        <w:t xml:space="preserve"> </w:t>
      </w:r>
      <w:r>
        <w:t xml:space="preserve">Department of Pediatrics, University of Colorado Anschutz Medical Campus, Aurora.</w:t>
      </w:r>
      <w:r>
        <w:br/>
      </w:r>
      <w:r>
        <w:rPr>
          <w:vertAlign w:val="superscript"/>
        </w:rPr>
        <w:t xml:space="preserve">5</w:t>
      </w:r>
      <w:r>
        <w:t xml:space="preserve"> </w:t>
      </w:r>
      <w:r>
        <w:t xml:space="preserve">Section of Critical Care Medicine, Department of Pediatrics, University of Colorado School of Medicine, University of Colorado Anschutz Medical Campus, Aurora, Colorado, USA</w:t>
      </w:r>
    </w:p>
    <w:p>
      <w:pPr>
        <w:pStyle w:val="BodyText"/>
      </w:pPr>
      <w:r>
        <w:rPr>
          <w:b/>
          <w:bCs/>
          <w:u w:val="single"/>
        </w:rPr>
        <w:t xml:space="preserve">Correspondence:</w:t>
      </w:r>
    </w:p>
    <w:p>
      <w:pPr>
        <w:pStyle w:val="BodyText"/>
      </w:pPr>
      <w:r>
        <w:t xml:space="preserve">Peter E. DeWitt, PhD</w:t>
      </w:r>
      <w:r>
        <w:br/>
      </w:r>
      <w:r>
        <w:t xml:space="preserve">Department of Biomedical Informatics</w:t>
      </w:r>
      <w:r>
        <w:br/>
      </w:r>
      <w:r>
        <w:t xml:space="preserve">University of Colorado School of Medicine</w:t>
      </w:r>
      <w:r>
        <w:br/>
      </w:r>
      <w:r>
        <w:t xml:space="preserve">1890 N. Revere Court</w:t>
      </w:r>
      <w:r>
        <w:br/>
      </w:r>
      <w:r>
        <w:t xml:space="preserve">Mailstop F600</w:t>
      </w:r>
      <w:r>
        <w:br/>
      </w:r>
      <w:r>
        <w:t xml:space="preserve">Aurora, Colorado, 80045</w:t>
      </w:r>
    </w:p>
    <w:p>
      <w:pPr>
        <w:pStyle w:val="BodyText"/>
      </w:pPr>
      <w:r>
        <w:t xml:space="preserve">Email:</w:t>
      </w:r>
      <w:r>
        <w:t xml:space="preserve"> </w:t>
      </w:r>
      <w:hyperlink r:id="rId9">
        <w:r>
          <w:rPr>
            <w:rStyle w:val="Hyperlink"/>
          </w:rPr>
          <w:t xml:space="preserve">peter.dewitt@cuanschutz.edu</w:t>
        </w:r>
      </w:hyperlink>
    </w:p>
    <w:p>
      <w:pPr>
        <w:pStyle w:val="BodyText"/>
      </w:pPr>
      <w:r>
        <w:rPr>
          <w:b/>
          <w:bCs/>
          <w:u w:val="single"/>
        </w:rPr>
        <w:t xml:space="preserve">Article type:</w:t>
      </w:r>
      <w:r>
        <w:t xml:space="preserve"> </w:t>
      </w:r>
      <w:r>
        <w:t xml:space="preserve">Application Note</w:t>
      </w:r>
    </w:p>
    <w:p>
      <w:pPr>
        <w:pStyle w:val="BodyText"/>
      </w:pPr>
      <w:r>
        <w:rPr>
          <w:b/>
          <w:bCs/>
          <w:u w:val="single"/>
        </w:rPr>
        <w:t xml:space="preserve">Word count:</w:t>
      </w:r>
      <w:r>
        <w:t xml:space="preserve"> </w:t>
      </w:r>
      <w:r>
        <w:t xml:space="preserve">1960 / 2000 (excluding tables)</w:t>
      </w:r>
    </w:p>
    <w:p>
      <w:pPr>
        <w:pStyle w:val="BodyText"/>
      </w:pPr>
      <w:r>
        <w:rPr>
          <w:b/>
          <w:bCs/>
          <w:u w:val="single"/>
        </w:rPr>
        <w:t xml:space="preserve">Tables:</w:t>
      </w:r>
      <w:r>
        <w:t xml:space="preserve"> </w:t>
      </w:r>
      <w:r>
        <w:t xml:space="preserve">2 / 2</w:t>
      </w:r>
    </w:p>
    <w:p>
      <w:pPr>
        <w:pStyle w:val="BodyText"/>
      </w:pPr>
      <w:r>
        <w:rPr>
          <w:b/>
          <w:bCs/>
          <w:u w:val="single"/>
        </w:rPr>
        <w:t xml:space="preserve">Figures:</w:t>
      </w:r>
      <w:r>
        <w:t xml:space="preserve"> </w:t>
      </w:r>
      <w:r>
        <w:t xml:space="preserve">3 / 3</w:t>
      </w:r>
    </w:p>
    <w:p>
      <w:pPr>
        <w:pStyle w:val="BodyText"/>
      </w:pPr>
      <w:r>
        <w:rPr>
          <w:b/>
          <w:bCs/>
          <w:u w:val="single"/>
        </w:rPr>
        <w:t xml:space="preserve">Supplementary material:</w:t>
      </w:r>
      <w:r>
        <w:t xml:space="preserve"> </w:t>
      </w:r>
      <w:r>
        <w:t xml:space="preserve">mimiciv-data-analysis.pdf</w:t>
      </w:r>
    </w:p>
    <w:p>
      <w:pPr>
        <w:pStyle w:val="BodyText"/>
      </w:pPr>
      <w:r>
        <w:rPr>
          <w:b/>
          <w:bCs/>
          <w:u w:val="single"/>
        </w:rPr>
        <w:t xml:space="preserve">Short running title</w:t>
      </w:r>
      <w:r>
        <w:t xml:space="preserve">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: R package for ICD codes and comorbidities with longitudinal data</w:t>
      </w:r>
    </w:p>
    <w:p>
      <w:pPr>
        <w:pStyle w:val="BodyText"/>
      </w:pPr>
      <w:r>
        <w:rPr>
          <w:b/>
          <w:bCs/>
          <w:u w:val="single"/>
        </w:rPr>
        <w:t xml:space="preserve">Keywords:</w:t>
      </w:r>
      <w:r>
        <w:t xml:space="preserve"> </w:t>
      </w:r>
      <w:r>
        <w:t xml:space="preserve">Comorbidity, International Classification of</w:t>
      </w:r>
      <w:r>
        <w:t xml:space="preserve"> </w:t>
      </w:r>
      <w:r>
        <w:t xml:space="preserve">Diseases (ICD), Software, Longitudinal Studies, Pediatrics</w:t>
      </w:r>
    </w:p>
    <w:p>
      <w:r>
        <w:br w:type="page"/>
      </w:r>
    </w:p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Word count: 145 / 150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Comorbidity algorithms derived from ICD codes are central to risk adjustment and</w:t>
      </w:r>
      <w:r>
        <w:t xml:space="preserve"> </w:t>
      </w:r>
      <w:r>
        <w:t xml:space="preserve">cohort characterization, but existing software inconsistently handles mixed</w:t>
      </w:r>
      <w:r>
        <w:t xml:space="preserve"> </w:t>
      </w:r>
      <w:r>
        <w:t xml:space="preserve">ICD-9/10 data and typically operates at the encounter level. 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to address these limitations.</w:t>
      </w:r>
    </w:p>
    <w:p>
      <w:pPr>
        <w:pStyle w:val="BodyText"/>
      </w:pPr>
      <w:r>
        <w:rPr>
          <w:b/>
          <w:bCs/>
        </w:rPr>
        <w:t xml:space="preserve">Materials and Methods: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an R package with an internal ICD database and unified</w:t>
      </w:r>
      <w:r>
        <w:t xml:space="preserve"> </w:t>
      </w:r>
      <w:r>
        <w:t xml:space="preserve">interface for applying variants of the Charlson, Elixhauser, and Pediatric</w:t>
      </w:r>
      <w:r>
        <w:t xml:space="preserve"> </w:t>
      </w:r>
      <w:r>
        <w:t xml:space="preserve">Complex Chronic Conditions algorithms. It supports full and compact ICD codes,</w:t>
      </w:r>
      <w:r>
        <w:t xml:space="preserve"> </w:t>
      </w:r>
      <w:r>
        <w:t xml:space="preserve">mixed ICD versions, present-on-admission and primary diagnosis indicators, and</w:t>
      </w:r>
      <w:r>
        <w:t xml:space="preserve"> </w:t>
      </w:r>
      <w:r>
        <w:t xml:space="preserve">encounter-level and cumulative longitudinal flagging.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package requires only R ≥ 3.5.0; no additional packages,</w:t>
      </w:r>
      <w:r>
        <w:t xml:space="preserve"> </w:t>
      </w:r>
      <w:r>
        <w:t xml:space="preserve">internet access, or external data are required. Outputs are consistent with published</w:t>
      </w:r>
      <w:r>
        <w:t xml:space="preserve"> </w:t>
      </w:r>
      <w:r>
        <w:t xml:space="preserve">reference implementations. Longitudinal flagging identifies additional</w:t>
      </w:r>
      <w:r>
        <w:t xml:space="preserve"> </w:t>
      </w:r>
      <w:r>
        <w:t xml:space="preserve">comorbidity flags under a carry-forward assumption while accounting for</w:t>
      </w:r>
      <w:r>
        <w:t xml:space="preserve"> </w:t>
      </w:r>
      <w:r>
        <w:t xml:space="preserve">present-on-admission or technology-dependent logic.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provides a unified, reproducible framework for ICD-based</w:t>
      </w:r>
      <w:r>
        <w:t xml:space="preserve"> </w:t>
      </w:r>
      <w:r>
        <w:t xml:space="preserve">comorbidity assessment in modern clinical datasets.</w:t>
      </w:r>
    </w:p>
    <w:p>
      <w:r>
        <w:br w:type="page"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Lay Summary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Word count: 189 / 200</w:t>
            </w:r>
          </w:p>
          <w:p>
            <w:pPr>
              <w:pStyle w:val="BodyText"/>
            </w:pPr>
            <w:r>
              <w:t xml:space="preserve">Researchers often use International Classification of Diseases (ICD) diagnosis</w:t>
            </w:r>
            <w:r>
              <w:t xml:space="preserve"> </w:t>
            </w:r>
            <w:r>
              <w:t xml:space="preserve">and procedure codes to identify health conditions in large medical datasets.</w:t>
            </w:r>
            <w:r>
              <w:t xml:space="preserve"> </w:t>
            </w:r>
            <w:r>
              <w:t xml:space="preserve">Comorbidity algorithms group these codes into meaningful categories, such as</w:t>
            </w:r>
            <w:r>
              <w:t xml:space="preserve"> </w:t>
            </w:r>
            <w:r>
              <w:t xml:space="preserve">heart disease or cancer, and are essential for understanding patient complexity,</w:t>
            </w:r>
            <w:r>
              <w:t xml:space="preserve"> </w:t>
            </w:r>
            <w:r>
              <w:t xml:space="preserve">comparing outcomes, and adjusting for risk. However, existing tools usually</w:t>
            </w:r>
            <w:r>
              <w:t xml:space="preserve"> </w:t>
            </w:r>
            <w:r>
              <w:t xml:space="preserve">handle only one or two algorithms, work with either ICD-9 or ICD-10 (but rarely</w:t>
            </w:r>
            <w:r>
              <w:t xml:space="preserve"> </w:t>
            </w:r>
            <w:r>
              <w:t xml:space="preserve">both together), and do not track health conditions across multiple hospital</w:t>
            </w:r>
            <w:r>
              <w:t xml:space="preserve"> </w:t>
            </w:r>
            <w:r>
              <w:t xml:space="preserve">visits. This can lead to missed or inconsistent results.</w:t>
            </w:r>
          </w:p>
          <w:p>
            <w:pPr>
              <w:pStyle w:val="BodyText"/>
            </w:pPr>
            <w:r>
              <w:t xml:space="preserve">We created</w:t>
            </w:r>
            <w:r>
              <w:t xml:space="preserve"> </w:t>
            </w:r>
            <w:r>
              <w:rPr>
                <w:i/>
                <w:iCs/>
              </w:rPr>
              <w:t xml:space="preserve">medicalcoder</w:t>
            </w:r>
            <w:r>
              <w:t xml:space="preserve">, an R package that solves these problems. It includes</w:t>
            </w:r>
            <w:r>
              <w:t xml:space="preserve"> </w:t>
            </w:r>
            <w:r>
              <w:t xml:space="preserve">an internal database of ICD-9 and ICD-10 codes and provides a single, easy-to-use</w:t>
            </w:r>
            <w:r>
              <w:t xml:space="preserve"> </w:t>
            </w:r>
            <w:r>
              <w:t xml:space="preserve">function to apply many comorbidity algorithms. The package can recognize both</w:t>
            </w:r>
            <w:r>
              <w:t xml:space="preserve"> </w:t>
            </w:r>
            <w:r>
              <w:t xml:space="preserve">full and compact ICD codes, use present-on-admission flags, identify primary</w:t>
            </w:r>
            <w:r>
              <w:t xml:space="preserve"> </w:t>
            </w:r>
            <w:r>
              <w:t xml:space="preserve">diagnoses, and follow patients across multiple encounters to avoid missing</w:t>
            </w:r>
            <w:r>
              <w:t xml:space="preserve"> </w:t>
            </w:r>
            <w:r>
              <w:t xml:space="preserve">conditions that appear earlier in their history.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medicalcoder</w:t>
            </w:r>
            <w:r>
              <w:t xml:space="preserve"> </w:t>
            </w:r>
            <w:r>
              <w:t xml:space="preserve">is fast, works with base R, has extensive automated tests, and</w:t>
            </w:r>
            <w:r>
              <w:t xml:space="preserve"> </w:t>
            </w:r>
            <w:r>
              <w:t xml:space="preserve">produces encounter-level outputs consistent with reference implementations. It</w:t>
            </w:r>
            <w:r>
              <w:t xml:space="preserve"> </w:t>
            </w:r>
            <w:r>
              <w:t xml:space="preserve">helps researchers apply comorbidity algorithms with consistency, improving the quality and</w:t>
            </w:r>
            <w:r>
              <w:t xml:space="preserve"> </w:t>
            </w:r>
            <w:r>
              <w:t xml:space="preserve">reproducibility of studies using electronic health records or administrative</w:t>
            </w:r>
            <w:r>
              <w:t xml:space="preserve"> </w:t>
            </w:r>
            <w:r>
              <w:t xml:space="preserve">data.</w:t>
            </w:r>
          </w:p>
          <w:p/>
        </w:tc>
      </w:tr>
    </w:tbl>
    <w:p>
      <w:r>
        <w:br w:type="page"/>
      </w:r>
    </w:p>
    <w:bookmarkEnd w:id="10"/>
    <w:bookmarkStart w:id="11" w:name="background-and-significance"/>
    <w:p>
      <w:pPr>
        <w:pStyle w:val="Heading1"/>
      </w:pPr>
      <w:r>
        <w:t xml:space="preserve">Background and Significance</w:t>
      </w:r>
    </w:p>
    <w:p>
      <w:pPr>
        <w:pStyle w:val="FirstParagraph"/>
      </w:pPr>
      <w:r>
        <w:t xml:space="preserve">Accurate identification of clinical conditions in large healthcare datasets</w:t>
      </w:r>
      <w:r>
        <w:t xml:space="preserve"> </w:t>
      </w:r>
      <w:r>
        <w:t xml:space="preserve">depends on International Classification of Diseases (ICD) codes</w:t>
      </w:r>
      <w:r>
        <w:t xml:space="preserve"> </w:t>
      </w:r>
      <w:r>
        <w:t xml:space="preserve">[1–8]</w:t>
      </w:r>
      <w:r>
        <w:t xml:space="preserve">.</w:t>
      </w:r>
      <w:r>
        <w:t xml:space="preserve"> </w:t>
      </w:r>
      <w:r>
        <w:t xml:space="preserve">Comorbidity algorithms built on these codes support risk adjustment, cohort</w:t>
      </w:r>
      <w:r>
        <w:t xml:space="preserve"> </w:t>
      </w:r>
      <w:r>
        <w:t xml:space="preserve">characterization, and reproducible studies of patient populations</w:t>
      </w:r>
      <w:r>
        <w:t xml:space="preserve"> </w:t>
      </w:r>
      <w:r>
        <w:t xml:space="preserve">[1,9–11]</w:t>
      </w:r>
      <w:r>
        <w:t xml:space="preserve">.</w:t>
      </w:r>
    </w:p>
    <w:p>
      <w:pPr>
        <w:pStyle w:val="BodyText"/>
      </w:pPr>
      <w:r>
        <w:t xml:space="preserve">Existing software for flagging comorbidities typically implements one or two</w:t>
      </w:r>
      <w:r>
        <w:t xml:space="preserve"> </w:t>
      </w:r>
      <w:r>
        <w:t xml:space="preserve">algorithms, most often variants of Charlson and Elixhauser, supports either</w:t>
      </w:r>
      <w:r>
        <w:t xml:space="preserve"> </w:t>
      </w:r>
      <w:r>
        <w:t xml:space="preserve">ICD-9 or ICD-10 (but not both simultaneously),</w:t>
      </w:r>
      <w:r>
        <w:t xml:space="preserve"> </w:t>
      </w:r>
      <w:r>
        <w:t xml:space="preserve">and requires manual reconciliation of mixed-version datasets</w:t>
      </w:r>
      <w:r>
        <w:t xml:space="preserve"> </w:t>
      </w:r>
      <w:r>
        <w:t xml:space="preserve">[4,12–16]</w:t>
      </w:r>
      <w:r>
        <w:t xml:space="preserve">.</w:t>
      </w:r>
    </w:p>
    <w:p>
      <w:pPr>
        <w:pStyle w:val="BodyText"/>
      </w:pPr>
      <w:r>
        <w:t xml:space="preserve">Other R packages for working with ICD codes and comorbidities include the</w:t>
      </w:r>
      <w:r>
        <w:t xml:space="preserve"> </w:t>
      </w:r>
      <w:r>
        <w:t xml:space="preserve">archived</w:t>
      </w:r>
      <w:r>
        <w:t xml:space="preserve"> </w:t>
      </w:r>
      <w:r>
        <w:rPr>
          <w:i/>
          <w:iCs/>
        </w:rPr>
        <w:t xml:space="preserve">icd</w:t>
      </w:r>
      <w:r>
        <w:t xml:space="preserve"> </w:t>
      </w:r>
      <w:r>
        <w:t xml:space="preserve">package, which provides ICD validation, manipulation, and</w:t>
      </w:r>
      <w:r>
        <w:t xml:space="preserve"> </w:t>
      </w:r>
      <w:r>
        <w:t xml:space="preserve">comorbidity mapping</w:t>
      </w:r>
      <w:r>
        <w:t xml:space="preserve"> </w:t>
      </w:r>
      <w:r>
        <w:t xml:space="preserve">[17]</w:t>
      </w:r>
      <w:r>
        <w:t xml:space="preserve">, and the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packages which</w:t>
      </w:r>
      <w:r>
        <w:t xml:space="preserve"> </w:t>
      </w:r>
      <w:r>
        <w:t xml:space="preserve">implement specific algorithms</w:t>
      </w:r>
      <w:r>
        <w:t xml:space="preserve"> </w:t>
      </w:r>
      <w:r>
        <w:t xml:space="preserve">[12,13]</w:t>
      </w:r>
      <w:r>
        <w:t xml:space="preserve">.</w:t>
      </w:r>
    </w:p>
    <w:p>
      <w:pPr>
        <w:pStyle w:val="BodyText"/>
      </w:pPr>
      <w:r>
        <w:t xml:space="preserve">Despite the importance of longitudinal data in medical</w:t>
      </w:r>
      <w:r>
        <w:t xml:space="preserve"> </w:t>
      </w:r>
      <w:r>
        <w:t xml:space="preserve">research</w:t>
      </w:r>
      <w:r>
        <w:t xml:space="preserve"> </w:t>
      </w:r>
      <w:r>
        <w:t xml:space="preserve">[18–20]</w:t>
      </w:r>
      <w:r>
        <w:t xml:space="preserve">, comorbidity</w:t>
      </w:r>
      <w:r>
        <w:t xml:space="preserve"> </w:t>
      </w:r>
      <w:r>
        <w:t xml:space="preserve">software typically operates at the encounter</w:t>
      </w:r>
      <w:r>
        <w:t xml:space="preserve"> </w:t>
      </w:r>
      <w:r>
        <w:t xml:space="preserve">level</w:t>
      </w:r>
      <w:r>
        <w:t xml:space="preserve"> </w:t>
      </w:r>
      <w:r>
        <w:t xml:space="preserve">[5,12–16,21–24]</w:t>
      </w:r>
      <w:r>
        <w:t xml:space="preserve">.</w:t>
      </w:r>
      <w:r>
        <w:t xml:space="preserve"> </w:t>
      </w:r>
      <w:r>
        <w:t xml:space="preserve">While the AHRQ</w:t>
      </w:r>
      <w:r>
        <w:t xml:space="preserve"> </w:t>
      </w:r>
      <w:r>
        <w:t xml:space="preserve">[5]</w:t>
      </w:r>
      <w:r>
        <w:t xml:space="preserve"> </w:t>
      </w:r>
      <w:r>
        <w:t xml:space="preserve">Elixhauser variants account for present-on-admission</w:t>
      </w:r>
      <w:r>
        <w:t xml:space="preserve"> </w:t>
      </w:r>
      <w:r>
        <w:t xml:space="preserve">(POA) indicators and exemptions, they do not propagate conditions across</w:t>
      </w:r>
      <w:r>
        <w:t xml:space="preserve"> </w:t>
      </w:r>
      <w:r>
        <w:t xml:space="preserve">encounters within a patient record. As a result, conditions that arise during</w:t>
      </w:r>
      <w:r>
        <w:t xml:space="preserve"> </w:t>
      </w:r>
      <w:r>
        <w:t xml:space="preserve">acute care and are excluded from the index encounter may be missed</w:t>
      </w:r>
      <w:r>
        <w:t xml:space="preserve"> </w:t>
      </w:r>
      <w:r>
        <w:t xml:space="preserve">in subsequent encounters unless the relevant ICD codes are</w:t>
      </w:r>
      <w:r>
        <w:t xml:space="preserve"> </w:t>
      </w:r>
      <w:r>
        <w:t xml:space="preserve">re-reported and flagged as POA.</w:t>
      </w:r>
    </w:p>
    <w:p>
      <w:pPr>
        <w:pStyle w:val="BodyText"/>
      </w:pPr>
      <w:r>
        <w:t xml:space="preserve">This limitation is particularly important given the high prevalence of chronic</w:t>
      </w:r>
      <w:r>
        <w:t xml:space="preserve"> </w:t>
      </w:r>
      <w:r>
        <w:t xml:space="preserve">disease in the United States, where 76.4% of adults report at least one chronic</w:t>
      </w:r>
      <w:r>
        <w:t xml:space="preserve"> </w:t>
      </w:r>
      <w:r>
        <w:t xml:space="preserve">condition and 59.5% report two or more</w:t>
      </w:r>
      <w:r>
        <w:t xml:space="preserve"> </w:t>
      </w:r>
      <w:r>
        <w:t xml:space="preserve">[25]</w:t>
      </w:r>
      <w:r>
        <w:t xml:space="preserve">. Failing to account</w:t>
      </w:r>
      <w:r>
        <w:t xml:space="preserve"> </w:t>
      </w:r>
      <w:r>
        <w:t xml:space="preserve">for longitudinal patient history can therefore lead to systematic</w:t>
      </w:r>
      <w:r>
        <w:t xml:space="preserve"> </w:t>
      </w:r>
      <w:r>
        <w:t xml:space="preserve">under-ascertainment of comorbidities and misclassification of patient risk.</w:t>
      </w:r>
    </w:p>
    <w:p>
      <w:pPr>
        <w:pStyle w:val="BodyText"/>
      </w:pPr>
      <w:r>
        <w:t xml:space="preserve">We developed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as a unified, POA-aware API supporting multiple</w:t>
      </w:r>
      <w:r>
        <w:t xml:space="preserve"> </w:t>
      </w:r>
      <w:r>
        <w:t xml:space="preserve">algorithms, algorithm-specific requirements, mixed ICD versions and types, and</w:t>
      </w:r>
      <w:r>
        <w:t xml:space="preserve"> </w:t>
      </w:r>
      <w:r>
        <w:t xml:space="preserve">longitudinal data.</w:t>
      </w:r>
    </w:p>
    <w:bookmarkEnd w:id="11"/>
    <w:bookmarkStart w:id="12" w:name="objective"/>
    <w:p>
      <w:pPr>
        <w:pStyle w:val="Heading1"/>
      </w:pPr>
      <w:r>
        <w:t xml:space="preserve">Objective</w:t>
      </w:r>
    </w:p>
    <w:p>
      <w:pPr>
        <w:pStyle w:val="FirstParagraph"/>
      </w:pPr>
      <w:r>
        <w:t xml:space="preserve">Develop a self-contained R package with an internal ICD database capable of</w:t>
      </w:r>
      <w:r>
        <w:t xml:space="preserve"> </w:t>
      </w:r>
      <w:r>
        <w:t xml:space="preserve">applying multiple comorbidity algorithms to clinical datasets without external</w:t>
      </w:r>
      <w:r>
        <w:t xml:space="preserve"> </w:t>
      </w:r>
      <w:r>
        <w:t xml:space="preserve">dependencies, internet access, or data resources. The package should support</w:t>
      </w:r>
      <w:r>
        <w:t xml:space="preserve"> </w:t>
      </w:r>
      <w:r>
        <w:t xml:space="preserve">simultaneous ICD-9 and ICD-10 coding,</w:t>
      </w:r>
      <w:r>
        <w:t xml:space="preserve"> </w:t>
      </w:r>
      <w:r>
        <w:t xml:space="preserve">accept full and compact ICD codes, incorporate present-on-admission and primary</w:t>
      </w:r>
      <w:r>
        <w:t xml:space="preserve"> </w:t>
      </w:r>
      <w:r>
        <w:t xml:space="preserve">diagnosis indicators, and enable longitudinal comorbidity assessment across</w:t>
      </w:r>
      <w:r>
        <w:t xml:space="preserve"> </w:t>
      </w:r>
      <w:r>
        <w:t xml:space="preserve">patient encounters.</w:t>
      </w:r>
    </w:p>
    <w:bookmarkEnd w:id="12"/>
    <w:bookmarkStart w:id="13" w:name="materials-and-methods"/>
    <w:p>
      <w:pPr>
        <w:pStyle w:val="Heading1"/>
      </w:pPr>
      <w:r>
        <w:t xml:space="preserve">Materials and Methods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was designed to run within restricted computing environments. No</w:t>
      </w:r>
      <w:r>
        <w:t xml:space="preserve"> </w:t>
      </w:r>
      <w:r>
        <w:t xml:space="preserve">namespaces are imported, and no network access is required. R</w:t>
      </w:r>
      <w:r>
        <w:t xml:space="preserve"> </w:t>
      </w:r>
      <w:r>
        <w:t xml:space="preserve">≥ 3.5.0 is the only required installation and runtime dependency.</w:t>
      </w:r>
    </w:p>
    <w:p>
      <w:pPr>
        <w:pStyle w:val="BodyText"/>
      </w:pPr>
      <w:r>
        <w:t xml:space="preserve">As of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version 0.9.0, the internal</w:t>
      </w:r>
      <w:r>
        <w:t xml:space="preserve"> </w:t>
      </w:r>
      <w:r>
        <w:t xml:space="preserve">ICD database includes ICD-9 diagnostic codes from the Centers for Disease</w:t>
      </w:r>
      <w:r>
        <w:t xml:space="preserve"> </w:t>
      </w:r>
      <w:r>
        <w:t xml:space="preserve">Control and Prevention (CDC) and ICD-9-CM and ICD-9-PCS codes from the Centers</w:t>
      </w:r>
      <w:r>
        <w:t xml:space="preserve"> </w:t>
      </w:r>
      <w:r>
        <w:t xml:space="preserve">for Medicare and Medicaid Services (CMS). ICD-10 diagnostic codes from the CDC</w:t>
      </w:r>
      <w:r>
        <w:t xml:space="preserve"> </w:t>
      </w:r>
      <w:r>
        <w:t xml:space="preserve">and the World Health Organization (WHO) are included, along with ICD-10-CM and</w:t>
      </w:r>
      <w:r>
        <w:t xml:space="preserve"> </w:t>
      </w:r>
      <w:r>
        <w:t xml:space="preserve">ICD-10-PCS codes from CMS, ICD-10-AM (Australian Modification) data from the</w:t>
      </w:r>
      <w:r>
        <w:t xml:space="preserve"> </w:t>
      </w:r>
      <w:r>
        <w:t xml:space="preserve">Independent Health and Aged Care Pricing Authority, and ICD-10-SE (Swedish</w:t>
      </w:r>
      <w:r>
        <w:t xml:space="preserve"> </w:t>
      </w:r>
      <w:r>
        <w:t xml:space="preserve">modification) data from Socialstyrelsen. Future releases will incorporate</w:t>
      </w:r>
      <w:r>
        <w:t xml:space="preserve"> </w:t>
      </w:r>
      <w:r>
        <w:t xml:space="preserve">published updates to supported code sets and additional national modifications.</w:t>
      </w:r>
    </w:p>
    <w:p>
      <w:pPr>
        <w:pStyle w:val="BodyText"/>
      </w:pPr>
      <w:r>
        <w:t xml:space="preserve">Charlson variants include Deyo (as denoted in</w:t>
      </w:r>
      <w:r>
        <w:t xml:space="preserve"> </w:t>
      </w:r>
      <w:r>
        <w:t xml:space="preserve">[1]</w:t>
      </w:r>
      <w:r>
        <w:t xml:space="preserve">), Quan (2005; 2011)</w:t>
      </w:r>
      <w:r>
        <w:t xml:space="preserve"> </w:t>
      </w:r>
      <w:r>
        <w:t xml:space="preserve">[1,2]</w:t>
      </w:r>
      <w:r>
        <w:t xml:space="preserve">, CDMF (2019)</w:t>
      </w:r>
      <w:r>
        <w:t xml:space="preserve"> </w:t>
      </w:r>
      <w:r>
        <w:t xml:space="preserve">[6]</w:t>
      </w:r>
      <w:r>
        <w:t xml:space="preserve">, Ludvigsson (2021)</w:t>
      </w:r>
      <w:r>
        <w:t xml:space="preserve"> </w:t>
      </w:r>
      <w:r>
        <w:t xml:space="preserve">[7,8]</w:t>
      </w:r>
      <w:r>
        <w:t xml:space="preserve">, Sundararajan (2004)</w:t>
      </w:r>
      <w:r>
        <w:t xml:space="preserve"> </w:t>
      </w:r>
      <w:r>
        <w:t xml:space="preserve">[26]</w:t>
      </w:r>
      <w:r>
        <w:t xml:space="preserve">, and Beyrer (2021)</w:t>
      </w:r>
      <w:r>
        <w:t xml:space="preserve"> </w:t>
      </w:r>
      <w:r>
        <w:t xml:space="preserve">[27]</w:t>
      </w:r>
      <w:r>
        <w:t xml:space="preserve">. Elixhauser</w:t>
      </w:r>
      <w:r>
        <w:t xml:space="preserve"> </w:t>
      </w:r>
      <w:r>
        <w:t xml:space="preserve">variants include the original Elixhauser (1998)</w:t>
      </w:r>
      <w:r>
        <w:t xml:space="preserve"> </w:t>
      </w:r>
      <w:r>
        <w:t xml:space="preserve">[28]</w:t>
      </w:r>
      <w:r>
        <w:t xml:space="preserve">, AHRQ Web</w:t>
      </w:r>
      <w:r>
        <w:t xml:space="preserve"> </w:t>
      </w:r>
      <w:r>
        <w:t xml:space="preserve">(ICD-9 based as denoted in</w:t>
      </w:r>
      <w:r>
        <w:t xml:space="preserve"> </w:t>
      </w:r>
      <w:r>
        <w:t xml:space="preserve">[1]</w:t>
      </w:r>
      <w:r>
        <w:t xml:space="preserve">), Quan (2005)</w:t>
      </w:r>
      <w:r>
        <w:t xml:space="preserve"> </w:t>
      </w:r>
      <w:r>
        <w:t xml:space="preserve">[1]</w:t>
      </w:r>
      <w:r>
        <w:t xml:space="preserve">, and AHRQ</w:t>
      </w:r>
      <w:r>
        <w:t xml:space="preserve"> </w:t>
      </w:r>
      <w:r>
        <w:t xml:space="preserve">ICD-10 fiscal-year implementations (2022–2026)</w:t>
      </w:r>
      <w:r>
        <w:t xml:space="preserve"> </w:t>
      </w:r>
      <w:r>
        <w:t xml:space="preserve">[5]</w:t>
      </w:r>
      <w:r>
        <w:t xml:space="preserve">. PCCC variants</w:t>
      </w:r>
      <w:r>
        <w:t xml:space="preserve"> </w:t>
      </w:r>
      <w:r>
        <w:t xml:space="preserve">include versions 2.0</w:t>
      </w:r>
      <w:r>
        <w:t xml:space="preserve"> </w:t>
      </w:r>
      <w:r>
        <w:t xml:space="preserve">[22]</w:t>
      </w:r>
      <w:r>
        <w:t xml:space="preserve">, 2.1, 3.0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and 3.1. The reference data and comorbidity mappings are versioned within</w:t>
      </w:r>
      <w:r>
        <w:t xml:space="preserve"> </w:t>
      </w:r>
      <w:r>
        <w:t xml:space="preserve">each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release.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maps ICD codes to comorbidity conditions using method-specific</w:t>
      </w:r>
      <w:r>
        <w:t xml:space="preserve"> </w:t>
      </w:r>
      <w:r>
        <w:t xml:space="preserve">lookup tables derived from, but distinct from, its broader internal ICD</w:t>
      </w:r>
      <w:r>
        <w:t xml:space="preserve"> </w:t>
      </w:r>
      <w:r>
        <w:t xml:space="preserve">database. Each table defines the ICD versions (9 or 10), code types (diagnosis</w:t>
      </w:r>
      <w:r>
        <w:t xml:space="preserve"> </w:t>
      </w:r>
      <w:r>
        <w:t xml:space="preserve">or procedure), full and compact code forms, and condition mappings supported by</w:t>
      </w:r>
      <w:r>
        <w:t xml:space="preserve"> </w:t>
      </w:r>
      <w:r>
        <w:t xml:space="preserve">the selected algorithm. Unlike implementations based primarily on partial string</w:t>
      </w:r>
      <w:r>
        <w:t xml:space="preserve"> </w:t>
      </w:r>
      <w:r>
        <w:t xml:space="preserve">matching or regular expressions</w:t>
      </w:r>
      <w:r>
        <w:t xml:space="preserve"> </w:t>
      </w:r>
      <w:r>
        <w:t xml:space="preserve">[12,13,24]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defaults</w:t>
      </w:r>
      <w:r>
        <w:t xml:space="preserve"> </w:t>
      </w:r>
      <w:r>
        <w:t xml:space="preserve">to matching input against precomputed valid ICD codes through database-style</w:t>
      </w:r>
      <w:r>
        <w:t xml:space="preserve"> </w:t>
      </w:r>
      <w:r>
        <w:t xml:space="preserve">joins. For supported methods, users may select method-specific regular-expression mappings. Dataset-</w:t>
      </w:r>
      <w:r>
        <w:t xml:space="preserve"> </w:t>
      </w:r>
      <w:r>
        <w:t xml:space="preserve">or row-level metadata can identify ICD version and code type, allowing mixed</w:t>
      </w:r>
      <w:r>
        <w:t xml:space="preserve"> </w:t>
      </w:r>
      <w:r>
        <w:t xml:space="preserve">ICD-9 and ICD-10 diagnosis and procedure codes within a dataset or encounter.</w:t>
      </w:r>
      <w:r>
        <w:t xml:space="preserve"> </w:t>
      </w:r>
      <w:r>
        <w:t xml:space="preserve">Matches are reduced to unique encounter-condition combinations before binary</w:t>
      </w:r>
      <w:r>
        <w:t xml:space="preserve"> </w:t>
      </w:r>
      <w:r>
        <w:t xml:space="preserve">indicators are assigned.</w:t>
      </w:r>
    </w:p>
    <w:p>
      <w:pPr>
        <w:pStyle w:val="BodyText"/>
      </w:pPr>
      <w:r>
        <w:t xml:space="preserve">Because code text alone cannot reliably distinguish jurisdictional variants such</w:t>
      </w:r>
      <w:r>
        <w:t xml:space="preserve"> </w:t>
      </w:r>
      <w:r>
        <w:t xml:space="preserve">as WHO ICD-10 and ICD-10-CM, users must select a method appropriate to their</w:t>
      </w:r>
      <w:r>
        <w:t xml:space="preserve"> </w:t>
      </w:r>
      <w:r>
        <w:t xml:space="preserve">source coding system and provide accurate code-system metadata.</w:t>
      </w:r>
    </w:p>
    <w:p>
      <w:pPr>
        <w:pStyle w:val="BodyText"/>
      </w:pPr>
      <w:r>
        <w:t xml:space="preserve">A comprehensive test suite runs through GitHub Actions and the Comprehensive R</w:t>
      </w:r>
      <w:r>
        <w:t xml:space="preserve"> </w:t>
      </w:r>
      <w:r>
        <w:t xml:space="preserve">Archive Network (CRAN), with additional compatibility testing across supported R</w:t>
      </w:r>
      <w:r>
        <w:t xml:space="preserve"> </w:t>
      </w:r>
      <w:r>
        <w:t xml:space="preserve">versions. Encounter-level outputs are compared with published R, SAS, and SQL</w:t>
      </w:r>
      <w:r>
        <w:t xml:space="preserve"> </w:t>
      </w:r>
      <w:r>
        <w:t xml:space="preserve">implementations: PCCC v2.0 with pccc</w:t>
      </w:r>
      <w:r>
        <w:t xml:space="preserve"> </w:t>
      </w:r>
      <w:r>
        <w:t xml:space="preserve">[13]</w:t>
      </w:r>
      <w:r>
        <w:t xml:space="preserve">, AHRQ Elixhauser variants</w:t>
      </w:r>
      <w:r>
        <w:t xml:space="preserve"> </w:t>
      </w:r>
      <w:r>
        <w:t xml:space="preserve">with the published AHRQ SAS programs</w:t>
      </w:r>
      <w:r>
        <w:t xml:space="preserve"> </w:t>
      </w:r>
      <w:r>
        <w:t xml:space="preserve">[5]</w:t>
      </w:r>
      <w:r>
        <w:t xml:space="preserve">, and Charlson variants with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 </w:t>
      </w:r>
      <w:r>
        <w:t xml:space="preserve">and MIMIC-IV Code</w:t>
      </w:r>
      <w:r>
        <w:t xml:space="preserve"> </w:t>
      </w:r>
      <w:r>
        <w:t xml:space="preserve">[24]</w:t>
      </w:r>
      <w:r>
        <w:t xml:space="preserve">.</w:t>
      </w:r>
      <w:r>
        <w:t xml:space="preserve"> </w:t>
      </w:r>
      <w:r>
        <w:t xml:space="preserve">Testing workflows and comparisons are provided in the package repository and</w:t>
      </w:r>
      <w:r>
        <w:t xml:space="preserve"> </w:t>
      </w:r>
      <w:r>
        <w:t xml:space="preserve">Supplement.</w:t>
      </w:r>
    </w:p>
    <w:p>
      <w:pPr>
        <w:pStyle w:val="BodyText"/>
      </w:pPr>
      <w:r>
        <w:t xml:space="preserve">We use the MIMIC-IV v3.1 dataset</w:t>
      </w:r>
      <w:r>
        <w:t xml:space="preserve"> </w:t>
      </w:r>
      <w:r>
        <w:t xml:space="preserve">[29–31]</w:t>
      </w:r>
      <w:r>
        <w:t xml:space="preserve"> </w:t>
      </w:r>
      <w:r>
        <w:t xml:space="preserve">for examples, validation, and benchmarking, not clinical inference. Pediatric</w:t>
      </w:r>
      <w:r>
        <w:t xml:space="preserve"> </w:t>
      </w:r>
      <w:r>
        <w:t xml:space="preserve">comorbidity algorithms are demonstrated using adult data. We compare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with MIMIC-IV Code</w:t>
      </w:r>
      <w:r>
        <w:t xml:space="preserve"> </w:t>
      </w:r>
      <w:r>
        <w:t xml:space="preserve">[23,24]</w:t>
      </w:r>
      <w:r>
        <w:t xml:space="preserve">,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[12]</w:t>
      </w:r>
      <w:r>
        <w:t xml:space="preserve">, 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[13]</w:t>
      </w:r>
      <w:r>
        <w:t xml:space="preserve">.</w:t>
      </w:r>
    </w:p>
    <w:bookmarkEnd w:id="13"/>
    <w:bookmarkStart w:id="14" w:name="results"/>
    <w:p>
      <w:pPr>
        <w:pStyle w:val="Heading1"/>
      </w:pPr>
      <w:r>
        <w:t xml:space="preserve">Results</w:t>
      </w:r>
    </w:p>
    <w:p>
      <w:pPr>
        <w:pStyle w:val="FirstParagraph"/>
      </w:pPr>
      <w:r>
        <w:t xml:space="preserve">The MIMIC-IV v3.1 dataset includes</w:t>
      </w:r>
      <w:r>
        <w:t xml:space="preserve"> </w:t>
      </w:r>
      <w:r>
        <w:t xml:space="preserve">7,365,770 rows of data for</w:t>
      </w:r>
      <w:r>
        <w:t xml:space="preserve"> </w:t>
      </w:r>
      <w:r>
        <w:t xml:space="preserve">364,627 unique subjects and a</w:t>
      </w:r>
      <w:r>
        <w:t xml:space="preserve"> </w:t>
      </w:r>
      <w:r>
        <w:t xml:space="preserve">total of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hospital encounters.</w:t>
      </w:r>
      <w:r>
        <w:t xml:space="preserve"> </w:t>
      </w:r>
      <w:r>
        <w:t xml:space="preserve">30,921</w:t>
      </w:r>
      <w:r>
        <w:t xml:space="preserve"> </w:t>
      </w:r>
      <w:r>
        <w:t xml:space="preserve">subjects’ records contain both ICD-9 and ICD-10 codes, and</w:t>
      </w:r>
      <w:r>
        <w:t xml:space="preserve"> </w:t>
      </w:r>
      <w:r>
        <w:t xml:space="preserve">11</w:t>
      </w:r>
      <w:r>
        <w:t xml:space="preserve"> </w:t>
      </w:r>
      <w:r>
        <w:t xml:space="preserve">encounters contain both versions.</w:t>
      </w:r>
    </w:p>
    <w:p>
      <w:pPr>
        <w:pStyle w:val="BodyText"/>
      </w:pP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can apply</w:t>
      </w:r>
      <w:r>
        <w:t xml:space="preserve"> </w:t>
      </w:r>
      <w:r>
        <w:t xml:space="preserve">21 comorbidity</w:t>
      </w:r>
      <w:r>
        <w:t xml:space="preserve"> </w:t>
      </w:r>
      <w:r>
        <w:t xml:space="preserve">algorithms to long-format, one ICD code per row, data. Optional columns identify</w:t>
      </w:r>
      <w:r>
        <w:t xml:space="preserve"> </w:t>
      </w:r>
      <w:r>
        <w:t xml:space="preserve">patients and/or encounters, ICD version and type, POA, and primary diagnosis</w:t>
      </w:r>
      <w:r>
        <w:t xml:space="preserve"> </w:t>
      </w:r>
      <w:r>
        <w:t xml:space="preserve">(Figure 1). A single patient record may contain mixed ICD code versions and</w:t>
      </w:r>
      <w:r>
        <w:t xml:space="preserve"> </w:t>
      </w:r>
      <w:r>
        <w:t xml:space="preserve">types in full or compact forms.</w:t>
      </w:r>
    </w:p>
    <w:p>
      <w:pPr>
        <w:pStyle w:val="BodyText"/>
      </w:pPr>
      <w:r>
        <w:t xml:space="preserve">Paired arguments (e.g.,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dx.var</w:t>
      </w:r>
      <w:r>
        <w:t xml:space="preserve">) specify dataset-level values or row-level</w:t>
      </w:r>
      <w:r>
        <w:t xml:space="preserve"> </w:t>
      </w:r>
      <w:r>
        <w:t xml:space="preserve">columns, respectively, avoiding constant-valued columns while supporting</w:t>
      </w:r>
      <w:r>
        <w:t xml:space="preserve"> </w:t>
      </w:r>
      <w:r>
        <w:t xml:space="preserve">row-level variation. If both are supplied, the</w:t>
      </w:r>
      <w:r>
        <w:t xml:space="preserve"> </w:t>
      </w:r>
      <w:r>
        <w:rPr>
          <w:rStyle w:val="VerbatimChar"/>
        </w:rPr>
        <w:t xml:space="preserve">.var</w:t>
      </w:r>
      <w:r>
        <w:t xml:space="preserve"> </w:t>
      </w:r>
      <w:r>
        <w:t xml:space="preserve">argument takes precedence</w:t>
      </w:r>
      <w:r>
        <w:t xml:space="preserve"> </w:t>
      </w:r>
      <w:r>
        <w:t xml:space="preserve">and a warning is issued.</w:t>
      </w:r>
    </w:p>
    <w:p>
      <w:pPr>
        <w:pStyle w:val="BodyText"/>
      </w:pPr>
      <w:r>
        <w:rPr>
          <w:rStyle w:val="VerbatimChar"/>
        </w:rPr>
        <w:t xml:space="preserve">id.vars</w:t>
      </w:r>
      <w:r>
        <w:t xml:space="preserve"> </w:t>
      </w:r>
      <w:r>
        <w:t xml:space="preserve">defines encounter-level summaries: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, omission treats the dataset as one encounter;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 </w:t>
      </w:r>
      <w:r>
        <w:t xml:space="preserve">must include at least two</w:t>
      </w:r>
      <w:r>
        <w:t xml:space="preserve"> </w:t>
      </w:r>
      <w:r>
        <w:t xml:space="preserve">variables defining the patient and within-patient encounter order (Supplement</w:t>
      </w:r>
      <w:r>
        <w:t xml:space="preserve"> </w:t>
      </w:r>
      <w:r>
        <w:t xml:space="preserve">Section 5.1).</w:t>
      </w:r>
    </w:p>
    <w:p>
      <w:pPr>
        <w:pStyle w:val="BodyText"/>
      </w:pPr>
      <w:r>
        <w:t xml:space="preserve">Output preserves the input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class and includes</w:t>
      </w:r>
      <w:r>
        <w:t xml:space="preserve"> </w:t>
      </w:r>
      <w:r>
        <w:rPr>
          <w:rStyle w:val="VerbatimChar"/>
        </w:rPr>
        <w:t xml:space="preserve">id.vars</w:t>
      </w:r>
      <w:r>
        <w:t xml:space="preserve">, one indicator column per comorbidity, and</w:t>
      </w:r>
      <w:r>
        <w:t xml:space="preserve"> </w:t>
      </w:r>
      <w:r>
        <w:t xml:space="preserve">summary columns</w:t>
      </w:r>
      <w:r>
        <w:t xml:space="preserve"> </w:t>
      </w:r>
      <w:r>
        <w:rPr>
          <w:rStyle w:val="VerbatimChar"/>
        </w:rPr>
        <w:t xml:space="preserve">num_cmrb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cmrb_flag</w:t>
      </w:r>
      <w:r>
        <w:t xml:space="preserve">. An S3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method generates count and percentage tables (Table 1).</w:t>
      </w:r>
    </w:p>
    <w:p>
      <w:pPr>
        <w:pStyle w:val="tablecap"/>
      </w:pPr>
      <w:r>
        <w:rPr>
          <w:b/>
          <w:bCs/>
        </w:rPr>
        <w:t xml:space="preserve">Table 1:</w:t>
      </w:r>
      <w:r>
        <w:t xml:space="preserve"> </w:t>
      </w:r>
      <w:r>
        <w:t xml:space="preserve">Counts and percentages of encounters within the MIMIC-IV dataset</w:t>
      </w:r>
      <w:r>
        <w:t xml:space="preserve"> </w:t>
      </w:r>
      <w:r>
        <w:t xml:space="preserve">flagged with Charlson comorbidities via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method = "charlson_quan2011"</w:t>
      </w:r>
      <w:r>
        <w:t xml:space="preserve">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Encounters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Percent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Condition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AIDS/HIV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Any 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47,461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100,402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Congestive heart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16,413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without chronic complications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84,632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 or paraplegia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9,591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30,359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Liver disease, moderate to severe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14,071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solid tumor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Peripheral vascular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38,121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86,101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Rheumatic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15,858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Total Conditions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347,600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50.58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194,034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96,641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40,807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≥ 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BodyText"/>
      </w:pPr>
      <w:r>
        <w:t xml:space="preserve">Encounter-level flagging assumes relevant ICD codes are reported, and when</w:t>
      </w:r>
      <w:r>
        <w:t xml:space="preserve"> </w:t>
      </w:r>
      <w:r>
        <w:t xml:space="preserve">required, marked POA at each encounter. Omissions may under-ascertain conditions</w:t>
      </w:r>
      <w:r>
        <w:t xml:space="preserve"> </w:t>
      </w:r>
      <w:r>
        <w:t xml:space="preserve">or severity.</w:t>
      </w:r>
    </w:p>
    <w:p>
      <w:pPr>
        <w:pStyle w:val="BodyText"/>
      </w:pPr>
      <w:r>
        <w:t xml:space="preserve">Figure 2 compares cumulative and current profiles using descriptive,</w:t>
      </w:r>
      <w:r>
        <w:t xml:space="preserve"> </w:t>
      </w:r>
      <w:r>
        <w:t xml:space="preserve">nonexclusive measures.</w:t>
      </w:r>
      <w:r>
        <w:t xml:space="preserve"> </w:t>
      </w:r>
      <w:r>
        <w:t xml:space="preserve">“Different risk profile”</w:t>
      </w:r>
      <w:r>
        <w:t xml:space="preserve"> </w:t>
      </w:r>
      <w:r>
        <w:t xml:space="preserve">denotes any difference in</w:t>
      </w:r>
      <w:r>
        <w:t xml:space="preserve"> </w:t>
      </w:r>
      <w:r>
        <w:t xml:space="preserve">condition classification or count. Denominators are subjects with at least two</w:t>
      </w:r>
      <w:r>
        <w:t xml:space="preserve"> </w:t>
      </w:r>
      <w:r>
        <w:t xml:space="preserve">encounters and a cumulative flag after the index encounter, and non-index</w:t>
      </w:r>
      <w:r>
        <w:t xml:space="preserve"> </w:t>
      </w:r>
      <w:r>
        <w:t xml:space="preserve">encounters with at least one cumulative flag. Among 92,536 eligible</w:t>
      </w:r>
      <w:r>
        <w:t xml:space="preserve"> </w:t>
      </w:r>
      <w:r>
        <w:t xml:space="preserve">Elixhauser subjects, 68,085 (73.6%) had a different profile on at least</w:t>
      </w:r>
      <w:r>
        <w:t xml:space="preserve"> </w:t>
      </w:r>
      <w:r>
        <w:t xml:space="preserve">one encounter, and 10,553 (11.4%) had no current but at least one</w:t>
      </w:r>
      <w:r>
        <w:t xml:space="preserve"> </w:t>
      </w:r>
      <w:r>
        <w:t xml:space="preserve">cumulative comorbidity.</w:t>
      </w:r>
    </w:p>
    <w:p>
      <w:pPr>
        <w:pStyle w:val="BodyText"/>
      </w:pPr>
      <w:r>
        <w:t xml:space="preserve">PCCC v3 and the 2022-2026 AHRQ Elixhauser algorithms require additional logic. PCCC</w:t>
      </w:r>
      <w:r>
        <w:t xml:space="preserve"> </w:t>
      </w:r>
      <w:r>
        <w:t xml:space="preserve">v3 conditions depend on whether technology-dependent codes co-occur (or</w:t>
      </w:r>
      <w:r>
        <w:t xml:space="preserve"> </w:t>
      </w:r>
      <w:r>
        <w:t xml:space="preserve">eventually co-occur) with non–technology-dependent codes (Table 2).</w:t>
      </w:r>
      <w:r>
        <w:t xml:space="preserve"> </w:t>
      </w:r>
      <w:r>
        <w:t xml:space="preserve">For AHRQ Elixhauser variants, POA-required conditions are flagged when POA is</w:t>
      </w:r>
      <w:r>
        <w:t xml:space="preserve"> </w:t>
      </w:r>
      <w:r>
        <w:t xml:space="preserve">present, or the ICD code is POA-exempt (Supplement Section 8.4).</w:t>
      </w:r>
    </w:p>
    <w:p>
      <w:pPr>
        <w:pStyle w:val="tablecap"/>
      </w:pPr>
      <w:r>
        <w:rPr>
          <w:b/>
          <w:bCs/>
        </w:rPr>
        <w:t xml:space="preserve">Table 2:</w:t>
      </w:r>
      <w:r>
        <w:t xml:space="preserve"> </w:t>
      </w:r>
      <w:r>
        <w:t xml:space="preserve">Flagging of comorbidities under PCCC v3 for MIMIC-IV subject</w:t>
      </w:r>
      <w:r>
        <w:t xml:space="preserve"> </w:t>
      </w:r>
      <w:r>
        <w:t xml:space="preserve">10728333. Cells marked with DxPr denote that the comorbidity was flagged due to</w:t>
      </w:r>
      <w:r>
        <w:t xml:space="preserve"> </w:t>
      </w:r>
      <w:r>
        <w:t xml:space="preserve">an ICD code that is not technology-dependent. Tech denotes flagging of a</w:t>
      </w:r>
      <w:r>
        <w:t xml:space="preserve"> </w:t>
      </w:r>
      <w:r>
        <w:t xml:space="preserve">comorbidity based on the presence of at least one technology-dependent ICD</w:t>
      </w:r>
      <w:r>
        <w:t xml:space="preserve"> </w:t>
      </w:r>
      <w:r>
        <w:t xml:space="preserve">code and the presence of at least one non-technology-dependent code for</w:t>
      </w:r>
      <w:r>
        <w:t xml:space="preserve"> </w:t>
      </w:r>
      <w:r>
        <w:t xml:space="preserve">another comorbidity. DxPrTech denotes flagging due to both</w:t>
      </w:r>
      <w:r>
        <w:t xml:space="preserve"> </w:t>
      </w:r>
      <w:r>
        <w:t xml:space="preserve">technology-dependent and non-technology-dependent ICD codes. Under the Any</w:t>
      </w:r>
      <w:r>
        <w:t xml:space="preserve"> </w:t>
      </w:r>
      <w:r>
        <w:t xml:space="preserve">Tech columns we mark the encounters where some tech dependence is identified.</w:t>
      </w:r>
      <w:r>
        <w:t xml:space="preserve"> </w:t>
      </w:r>
      <w:r>
        <w:t xml:space="preserve">For this patient, on encounter 1, a technology-dependent ICD code for a</w:t>
      </w:r>
      <w:r>
        <w:t xml:space="preserve"> </w:t>
      </w:r>
      <w:r>
        <w:t xml:space="preserve">respiratory comorbidity was found in the subject’s record. Because no</w:t>
      </w:r>
      <w:r>
        <w:t xml:space="preserve"> </w:t>
      </w:r>
      <w:r>
        <w:t xml:space="preserve">non-technology-dependent code was observed on encounter 1, under PCCC v3 this</w:t>
      </w:r>
      <w:r>
        <w:t xml:space="preserve"> </w:t>
      </w:r>
      <w:r>
        <w:t xml:space="preserve">subject has no comorbidities for encounter 1. This persists for encounters 2</w:t>
      </w:r>
      <w:r>
        <w:t xml:space="preserve"> </w:t>
      </w:r>
      <w:r>
        <w:t xml:space="preserve">and 3 with respect to respiratory and on encounter 3 for miscellaneous as</w:t>
      </w:r>
      <w:r>
        <w:t xml:space="preserve"> </w:t>
      </w:r>
      <w:r>
        <w:t xml:space="preserve">well. On encounter 4 a non-technology-dependent code for a metabolic</w:t>
      </w:r>
      <w:r>
        <w:t xml:space="preserve"> </w:t>
      </w:r>
      <w:r>
        <w:t xml:space="preserve">comorbidity was reported. Under a cumulative flagging paradigm, the</w:t>
      </w:r>
      <w:r>
        <w:t xml:space="preserve"> </w:t>
      </w:r>
      <w:r>
        <w:t xml:space="preserve">miscellaneous and respiratory comorbidities are also flagged as the reported</w:t>
      </w:r>
      <w:r>
        <w:t xml:space="preserve"> </w:t>
      </w:r>
      <w:r>
        <w:t xml:space="preserve">codes from encounters 3 and 1 have been carried forward respectively. Under</w:t>
      </w:r>
      <w:r>
        <w:t xml:space="preserve"> </w:t>
      </w:r>
      <w:r>
        <w:t xml:space="preserve">the</w:t>
      </w:r>
      <w:r>
        <w:t xml:space="preserve"> </w:t>
      </w:r>
      <w:r>
        <w:t xml:space="preserve">‘current’</w:t>
      </w:r>
      <w:r>
        <w:t xml:space="preserve"> </w:t>
      </w:r>
      <w:r>
        <w:t xml:space="preserve">flagging method miscellaneous is never flagged as the</w:t>
      </w:r>
      <w:r>
        <w:t xml:space="preserve"> </w:t>
      </w:r>
      <w:r>
        <w:t xml:space="preserve">technology-dependent code never occurs on the same encounter as the</w:t>
      </w:r>
      <w:r>
        <w:t xml:space="preserve"> </w:t>
      </w:r>
      <w:r>
        <w:t xml:space="preserve">non-technology-dependent code.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Metabolic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Miscellaneous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Respiratory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Any Tech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Comorbidity Count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Encounter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Current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Cumulative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*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†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DxPrTech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8pt"/>
              </w:rPr>
              <w:t xml:space="default">3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* A technology-dependent code was reported on this encounter. Since no non-technology-dependent code was reported no comorbidities are flagged.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† A technology-dependent code has been carried forward in the record. Since no non-technology-dependent code was reported on this, or a prior, encounter, no comorbidities are flagged.</w:t>
            </w:r>
          </w:p>
        </w:tc>
      </w:tr>
    </w:tbl>
    <w:p>
      <w:pPr>
        <w:pStyle w:val="BodyText"/>
      </w:pPr>
      <w:r>
        <w:t xml:space="preserve">Across encounter-level comparisons with MIMIC-IV Code and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showed 100% agreement for shared condition flags after</w:t>
      </w:r>
      <w:r>
        <w:t xml:space="preserve"> </w:t>
      </w:r>
      <w:r>
        <w:t xml:space="preserve">harmonizing output conventions; PCCC v2.0 discordance with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was limited to</w:t>
      </w:r>
      <w:r>
        <w:t xml:space="preserve"> </w:t>
      </w:r>
      <w:r>
        <w:t xml:space="preserve">documented technology-dependence and transplant-category differences</w:t>
      </w:r>
      <w:r>
        <w:t xml:space="preserve"> </w:t>
      </w:r>
      <w:r>
        <w:t xml:space="preserve">(Supplementary Table 3).</w:t>
      </w:r>
    </w:p>
    <w:p>
      <w:pPr>
        <w:pStyle w:val="BodyText"/>
      </w:pPr>
      <w:r>
        <w:t xml:space="preserve">The comparators all use some form of partial string matching for mapping ICD</w:t>
      </w:r>
      <w:r>
        <w:t xml:space="preserve"> </w:t>
      </w:r>
      <w:r>
        <w:t xml:space="preserve">codes to conditions.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uses a set of precomputed valid ICD codes to</w:t>
      </w:r>
      <w:r>
        <w:t xml:space="preserve"> </w:t>
      </w:r>
      <w:r>
        <w:t xml:space="preserve">map between input data and conditions using database-style joins. As a result,</w:t>
      </w:r>
      <w:r>
        <w:t xml:space="preserve"> </w:t>
      </w:r>
      <w:r>
        <w:t xml:space="preserve">comparator implementations that rely on prefix or regular-expression matching</w:t>
      </w:r>
      <w:r>
        <w:t xml:space="preserve"> </w:t>
      </w:r>
      <w:r>
        <w:t xml:space="preserve">can return false-positive flags when an invalid input string starts with a valid</w:t>
      </w:r>
      <w:r>
        <w:t xml:space="preserve"> </w:t>
      </w:r>
      <w:r>
        <w:t xml:space="preserve">ICD code substring. For example, the ICD-10 code C189 maps to</w:t>
      </w:r>
      <w:r>
        <w:t xml:space="preserve"> </w:t>
      </w:r>
      <w:r>
        <w:t xml:space="preserve">“any malignancy”</w:t>
      </w:r>
      <w:r>
        <w:t xml:space="preserve"> </w:t>
      </w:r>
      <w:r>
        <w:t xml:space="preserve">under Charlson;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maps C189NOTACODE to that condition because the</w:t>
      </w:r>
      <w:r>
        <w:t xml:space="preserve"> </w:t>
      </w:r>
      <w:r>
        <w:t xml:space="preserve">string starts with C18.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by default, does not map the invalid</w:t>
      </w:r>
      <w:r>
        <w:t xml:space="preserve"> </w:t>
      </w:r>
      <w:r>
        <w:t xml:space="preserve">string to a condition.</w:t>
      </w:r>
    </w:p>
    <w:p>
      <w:pPr>
        <w:pStyle w:val="BodyText"/>
      </w:pPr>
      <w:r>
        <w:t xml:space="preserve">Precomputed ICD-to-condition maps reduce false-positive flags compared with</w:t>
      </w:r>
      <w:r>
        <w:t xml:space="preserve"> </w:t>
      </w:r>
      <w:r>
        <w:t xml:space="preserve">partial string matching and reduce computational expense. Benchmarking in the</w:t>
      </w:r>
      <w:r>
        <w:t xml:space="preserve"> </w:t>
      </w:r>
      <w:r>
        <w:t xml:space="preserve">supplement and Figure 3 shows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less time to compute</w:t>
      </w:r>
      <w:r>
        <w:t xml:space="preserve"> </w:t>
      </w:r>
      <w:r>
        <w:t xml:space="preserve">comorbidity flags in the MIMIC-IV examples.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provides ICD utility functions for data preparation and</w:t>
      </w:r>
      <w:r>
        <w:t xml:space="preserve"> </w:t>
      </w:r>
      <w:r>
        <w:t xml:space="preserve">validation.</w:t>
      </w:r>
      <w:r>
        <w:t xml:space="preserve"> </w:t>
      </w:r>
      <w:r>
        <w:rPr>
          <w:rStyle w:val="VerbatimChar"/>
        </w:rPr>
        <w:t xml:space="preserve">medicalcoder::get_icd_codes()</w:t>
      </w:r>
      <w:r>
        <w:t xml:space="preserve"> </w:t>
      </w:r>
      <w:r>
        <w:t xml:space="preserve">exposes the internal ICD database,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medicalcoder::is_icd()</w:t>
      </w:r>
      <w:r>
        <w:t xml:space="preserve"> </w:t>
      </w:r>
      <w:r>
        <w:t xml:space="preserve">validates candidate codes across full and compact</w:t>
      </w:r>
      <w:r>
        <w:t xml:space="preserve"> </w:t>
      </w:r>
      <w:r>
        <w:t xml:space="preserve">representations and mixed ICD-9/ICD-10 datasets.</w:t>
      </w:r>
    </w:p>
    <w:bookmarkEnd w:id="14"/>
    <w:bookmarkStart w:id="1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originated as a PCCC implementation</w:t>
      </w:r>
      <w:r>
        <w:t xml:space="preserve"> </w:t>
      </w:r>
      <w:r>
        <w:t xml:space="preserve">[3,4]</w:t>
      </w:r>
      <w:r>
        <w:t xml:space="preserve">,</w:t>
      </w:r>
      <w:r>
        <w:t xml:space="preserve"> </w:t>
      </w:r>
      <w:r>
        <w:t xml:space="preserve">for which reproducible classification required a version-aware ICD database that</w:t>
      </w:r>
      <w:r>
        <w:t xml:space="preserve"> </w:t>
      </w:r>
      <w:r>
        <w:t xml:space="preserve">subsequently supported Charlson and Elixhauser algorithms. The package imports</w:t>
      </w:r>
      <w:r>
        <w:t xml:space="preserve"> </w:t>
      </w:r>
      <w:r>
        <w:t xml:space="preserve">no namespaces and can be installed wherever R ≥ 3.5.0 is available,</w:t>
      </w:r>
      <w:r>
        <w:t xml:space="preserve"> </w:t>
      </w:r>
      <w:r>
        <w:t xml:space="preserve">including restricted environments. Pinning the package version locks its ICD</w:t>
      </w:r>
      <w:r>
        <w:t xml:space="preserve"> </w:t>
      </w:r>
      <w:r>
        <w:t xml:space="preserve">database and comorbidity mappings, supporting reproducibility. “Dependency-free”</w:t>
      </w:r>
      <w:r>
        <w:t xml:space="preserve"> </w:t>
      </w:r>
      <w:r>
        <w:t xml:space="preserve">applies to installation and runtime; tests, documentation, benchmarks, and</w:t>
      </w:r>
      <w:r>
        <w:t xml:space="preserve"> </w:t>
      </w:r>
      <w:r>
        <w:t xml:space="preserve">manuscript workflows require the external tools and data described here and in</w:t>
      </w:r>
      <w:r>
        <w:t xml:space="preserve"> </w:t>
      </w:r>
      <w:r>
        <w:t xml:space="preserve">the Supplement.</w:t>
      </w:r>
    </w:p>
    <w:p>
      <w:pPr>
        <w:pStyle w:val="BodyText"/>
      </w:pPr>
      <w:r>
        <w:rPr>
          <w:i/>
          <w:iCs/>
        </w:rPr>
        <w:t xml:space="preserve">medicalcoder</w:t>
      </w:r>
      <w:r>
        <w:t xml:space="preserve"> </w:t>
      </w:r>
      <w:r>
        <w:t xml:space="preserve">addresses a methodological gap in existing comorbidity software:</w:t>
      </w:r>
      <w:r>
        <w:t xml:space="preserve"> </w:t>
      </w:r>
      <w:r>
        <w:t xml:space="preserve">the lack of support for longitudinal comorbidity assessment. Most</w:t>
      </w:r>
      <w:r>
        <w:t xml:space="preserve"> </w:t>
      </w:r>
      <w:r>
        <w:t xml:space="preserve">implementations operate strictly at the encounter level, implicitly assuming</w:t>
      </w:r>
      <w:r>
        <w:t xml:space="preserve"> </w:t>
      </w:r>
      <w:r>
        <w:t xml:space="preserve">that comorbid conditions are either repeatedly coded or clinically irrelevant</w:t>
      </w:r>
      <w:r>
        <w:t xml:space="preserve"> </w:t>
      </w:r>
      <w:r>
        <w:t xml:space="preserve">once absent from the current record. As demonstrated in Table 2, this assumption</w:t>
      </w:r>
      <w:r>
        <w:t xml:space="preserve"> </w:t>
      </w:r>
      <w:r>
        <w:t xml:space="preserve">can lead to systematic under-ascertainment of comorbidities, particularly for</w:t>
      </w:r>
      <w:r>
        <w:t xml:space="preserve"> </w:t>
      </w:r>
      <w:r>
        <w:t xml:space="preserve">chronic conditions, or conditions governed by POA rules or technology-dependent</w:t>
      </w:r>
      <w:r>
        <w:t xml:space="preserve"> </w:t>
      </w:r>
      <w:r>
        <w:t xml:space="preserve">classification criteria. By tracking condition history across encounters,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supports comorbidity classification based on prior observed</w:t>
      </w:r>
      <w:r>
        <w:t xml:space="preserve"> </w:t>
      </w:r>
      <w:r>
        <w:t xml:space="preserve">diagnoses under an explicit carry-forward assumption.</w:t>
      </w:r>
    </w:p>
    <w:p>
      <w:pPr>
        <w:pStyle w:val="BodyText"/>
      </w:pPr>
      <w:r>
        <w:t xml:space="preserve">The utility of cumulative flags depends on whether every ICD code mapped to a</w:t>
      </w:r>
      <w:r>
        <w:t xml:space="preserve"> </w:t>
      </w:r>
      <w:r>
        <w:t xml:space="preserve">condition represents persistent disease. For example, carry-forward</w:t>
      </w:r>
      <w:r>
        <w:t xml:space="preserve"> </w:t>
      </w:r>
      <w:r>
        <w:t xml:space="preserve">of uncomplicated diabetes is defensible for the Quan et al. Charlson and</w:t>
      </w:r>
      <w:r>
        <w:t xml:space="preserve"> </w:t>
      </w:r>
      <w:r>
        <w:t xml:space="preserve">Elixhauser mappings</w:t>
      </w:r>
      <w:r>
        <w:t xml:space="preserve"> </w:t>
      </w:r>
      <w:r>
        <w:t xml:space="preserve">[1]</w:t>
      </w:r>
      <w:r>
        <w:t xml:space="preserve">, which identify non-gestational diabetes. In the</w:t>
      </w:r>
      <w:r>
        <w:t xml:space="preserve"> </w:t>
      </w:r>
      <w:r>
        <w:t xml:space="preserve">AHRQ fiscal year 2022 and beyond mappings, however, uncomplicated diabetes also</w:t>
      </w:r>
      <w:r>
        <w:t xml:space="preserve"> </w:t>
      </w:r>
      <w:r>
        <w:t xml:space="preserve">includes ICD-10 codes under the O24 category for gestational diabetes, a</w:t>
      </w:r>
      <w:r>
        <w:t xml:space="preserve"> </w:t>
      </w:r>
      <w:r>
        <w:t xml:space="preserve">pregnancy-related and potentially transient condition. Because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carries forward the comorbidity flag rather than the originating ICD code,</w:t>
      </w:r>
      <w:r>
        <w:t xml:space="preserve"> </w:t>
      </w:r>
      <w:r>
        <w:t xml:space="preserve">subsequent output cannot distinguish gestational from non-gestational diabetes.</w:t>
      </w:r>
      <w:r>
        <w:t xml:space="preserve"> </w:t>
      </w:r>
      <w:r>
        <w:t xml:space="preserve">Thus, cumulative uncomplicated-diabetes flags may be reasonable with Quan-style</w:t>
      </w:r>
      <w:r>
        <w:t xml:space="preserve"> </w:t>
      </w:r>
      <w:r>
        <w:t xml:space="preserve">mappings but require additional qualification with AHRQ-style mappings.</w:t>
      </w:r>
    </w:p>
    <w:p>
      <w:pPr>
        <w:pStyle w:val="BodyText"/>
      </w:pPr>
      <w:r>
        <w:t xml:space="preserve">Malignancy illustrates a related limitation. Suppose C18.2</w:t>
      </w:r>
      <w:r>
        <w:t xml:space="preserve"> </w:t>
      </w:r>
      <w:r>
        <w:t xml:space="preserve">“malignant neoplasm</w:t>
      </w:r>
      <w:r>
        <w:t xml:space="preserve"> </w:t>
      </w:r>
      <w:r>
        <w:t xml:space="preserve">of the colon”</w:t>
      </w:r>
      <w:r>
        <w:t xml:space="preserve"> </w:t>
      </w:r>
      <w:r>
        <w:t xml:space="preserve">is reported. Upon resolution of the neoplasm, the C18.2 code</w:t>
      </w:r>
      <w:r>
        <w:t xml:space="preserve"> </w:t>
      </w:r>
      <w:r>
        <w:t xml:space="preserve">should no longer be reported and the ICD-10 code Z85.038,</w:t>
      </w:r>
      <w:r>
        <w:t xml:space="preserve"> </w:t>
      </w:r>
      <w:r>
        <w:t xml:space="preserve">“personal history of</w:t>
      </w:r>
      <w:r>
        <w:t xml:space="preserve"> </w:t>
      </w:r>
      <w:r>
        <w:t xml:space="preserve">malignant neoplasm of the large intestine”</w:t>
      </w:r>
      <w:r>
        <w:t xml:space="preserve"> </w:t>
      </w:r>
      <w:r>
        <w:t xml:space="preserve">should be reported. The cumulative</w:t>
      </w:r>
      <w:r>
        <w:t xml:space="preserve"> </w:t>
      </w:r>
      <w:r>
        <w:t xml:space="preserve">flag remains positive on and after the encounter with the initial C18.2 report</w:t>
      </w:r>
      <w:r>
        <w:t xml:space="preserve"> </w:t>
      </w:r>
      <w:r>
        <w:t xml:space="preserve">and therefore represents current or previously observed malignancy rather than</w:t>
      </w:r>
      <w:r>
        <w:t xml:space="preserve"> </w:t>
      </w:r>
      <w:r>
        <w:t xml:space="preserve">current malignancy alone. However, because Z85.038 is not included in any of the</w:t>
      </w:r>
      <w:r>
        <w:t xml:space="preserve"> </w:t>
      </w:r>
      <w:r>
        <w:t xml:space="preserve">comorbidity mappings, a history-only encounter preceding any mapped</w:t>
      </w:r>
      <w:r>
        <w:t xml:space="preserve"> </w:t>
      </w:r>
      <w:r>
        <w:t xml:space="preserve">active-malignancy code remains unflagged. Cumulative malignancy flags should</w:t>
      </w:r>
      <w:r>
        <w:t xml:space="preserve"> </w:t>
      </w:r>
      <w:r>
        <w:t xml:space="preserve">therefore be interpreted as indicating current or previously observed</w:t>
      </w:r>
      <w:r>
        <w:t xml:space="preserve"> </w:t>
      </w:r>
      <w:r>
        <w:t xml:space="preserve">malignancy, not a comprehensive current-or-history phenotype.</w:t>
      </w:r>
    </w:p>
    <w:p>
      <w:pPr>
        <w:pStyle w:val="BodyText"/>
      </w:pPr>
      <w:r>
        <w:t xml:space="preserve">The magnitude and interpretation of cumulative flagging may differ in pediatric,</w:t>
      </w:r>
      <w:r>
        <w:t xml:space="preserve"> </w:t>
      </w:r>
      <w:r>
        <w:t xml:space="preserve">outpatient, claims, non-ICU, and non-U.S. datasets compared to the results shown</w:t>
      </w:r>
      <w:r>
        <w:t xml:space="preserve"> </w:t>
      </w:r>
      <w:r>
        <w:t xml:space="preserve">using the MIMIC-IV v3.1 dataset because coding density, encounter spacing, POA</w:t>
      </w:r>
      <w:r>
        <w:t xml:space="preserve"> </w:t>
      </w:r>
      <w:r>
        <w:t xml:space="preserve">availability, and condition persistence vary across settings.</w:t>
      </w:r>
    </w:p>
    <w:p>
      <w:pPr>
        <w:pStyle w:val="BodyText"/>
      </w:pPr>
      <w:r>
        <w:t xml:space="preserve">The unified interface provided by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further reduces analytic</w:t>
      </w:r>
      <w:r>
        <w:t xml:space="preserve"> </w:t>
      </w:r>
      <w:r>
        <w:t xml:space="preserve">complexity. Mixed ICD-9 and ICD-10 datasets, full and compact codes, diagnostic</w:t>
      </w:r>
      <w:r>
        <w:t xml:space="preserve"> </w:t>
      </w:r>
      <w:r>
        <w:t xml:space="preserve">and procedure codes, and algorithm-specific nuances are handled within a single</w:t>
      </w:r>
      <w:r>
        <w:t xml:space="preserve"> </w:t>
      </w:r>
      <w:r>
        <w:t xml:space="preserve">function call. This contrasts with existing workflows that require dataset</w:t>
      </w:r>
      <w:r>
        <w:t xml:space="preserve"> </w:t>
      </w:r>
      <w:r>
        <w:t xml:space="preserve">partitioning, multiple method calls, and post hoc reconciliation, each of which</w:t>
      </w:r>
      <w:r>
        <w:t xml:space="preserve"> </w:t>
      </w:r>
      <w:r>
        <w:t xml:space="preserve">can introduce error and irreproducibility.</w:t>
      </w:r>
    </w:p>
    <w:p>
      <w:pPr>
        <w:pStyle w:val="BodyText"/>
      </w:pPr>
      <w:r>
        <w:t xml:space="preserve">The included ICD utility functions also support exploratory and preprocessing</w:t>
      </w:r>
      <w:r>
        <w:t xml:space="preserve"> </w:t>
      </w:r>
      <w:r>
        <w:t xml:space="preserve">tasks using the same reference data employed by the comorbidity algorithms. This</w:t>
      </w:r>
      <w:r>
        <w:t xml:space="preserve"> </w:t>
      </w:r>
      <w:r>
        <w:t xml:space="preserve">reduces reliance on ad hoc code lists and external reference tables when</w:t>
      </w:r>
      <w:r>
        <w:t xml:space="preserve"> </w:t>
      </w:r>
      <w:r>
        <w:t xml:space="preserve">defining cohorts or filtering diagnosis and procedure codes in large clinical</w:t>
      </w:r>
      <w:r>
        <w:t xml:space="preserve"> </w:t>
      </w:r>
      <w:r>
        <w:t xml:space="preserve">datasets.</w:t>
      </w:r>
    </w:p>
    <w:p>
      <w:pPr>
        <w:pStyle w:val="BodyText"/>
      </w:pPr>
      <w:r>
        <w:t xml:space="preserve">Testing against published SAS, SQL, and R reference implementations</w:t>
      </w:r>
      <w:r>
        <w:t xml:space="preserve"> </w:t>
      </w:r>
      <w:r>
        <w:t xml:space="preserve">demonstrates that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produces results consistent with established</w:t>
      </w:r>
      <w:r>
        <w:t xml:space="preserve"> </w:t>
      </w:r>
      <w:r>
        <w:t xml:space="preserve">encounter-level algorithms while offering additional flexibility.</w:t>
      </w:r>
    </w:p>
    <w:p>
      <w:pPr>
        <w:pStyle w:val="BodyText"/>
      </w:pPr>
      <w:r>
        <w:t xml:space="preserve">To our knowledge, no available R package jointly supports multiple</w:t>
      </w:r>
      <w:r>
        <w:t xml:space="preserve"> </w:t>
      </w:r>
      <w:r>
        <w:t xml:space="preserve">comorbidity algorithms, mixed ICD versions, present-on-admission logic, and</w:t>
      </w:r>
      <w:r>
        <w:t xml:space="preserve"> </w:t>
      </w:r>
      <w:r>
        <w:t xml:space="preserve">cumulative longitudinal flagging within a single, reproducible framework.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these capabilities and enables researchers to consistently</w:t>
      </w:r>
      <w:r>
        <w:t xml:space="preserve"> </w:t>
      </w:r>
      <w:r>
        <w:t xml:space="preserve">characterize patient complexity and evaluate how different</w:t>
      </w:r>
      <w:r>
        <w:t xml:space="preserve"> </w:t>
      </w:r>
      <w:r>
        <w:t xml:space="preserve">comorbidity definitions influence analytic results.</w:t>
      </w:r>
    </w:p>
    <w:bookmarkStart w:id="15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rPr>
          <w:i/>
          <w:iCs/>
        </w:rPr>
        <w:t xml:space="preserve">medicalcoder</w:t>
      </w:r>
      <w:r>
        <w:t xml:space="preserve"> </w:t>
      </w:r>
      <w:r>
        <w:t xml:space="preserve">is a self-contained R package with an internal ICD database that</w:t>
      </w:r>
      <w:r>
        <w:t xml:space="preserve"> </w:t>
      </w:r>
      <w:r>
        <w:t xml:space="preserve">can apply many comorbidity algorithms while accounting for ICD-version,</w:t>
      </w:r>
      <w:r>
        <w:t xml:space="preserve"> </w:t>
      </w:r>
      <w:r>
        <w:t xml:space="preserve">ICD-type, POA, primary diagnosis, and full and compact ICD codes. Codes can be</w:t>
      </w:r>
      <w:r>
        <w:t xml:space="preserve"> </w:t>
      </w:r>
      <w:r>
        <w:t xml:space="preserve">flagged for individual encounters or longitudinally within a patient record.</w:t>
      </w:r>
    </w:p>
    <w:p>
      <w:r>
        <w:br w:type="page"/>
      </w:r>
    </w:p>
    <w:p>
      <w:pPr>
        <w:pStyle w:val="BodyText"/>
      </w:pPr>
      <w:r>
        <w:rPr>
          <w:b/>
          <w:bCs/>
          <w:u w:val="single"/>
        </w:rPr>
        <w:t xml:space="preserve">Competing Interests Statement: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  <w:u w:val="single"/>
        </w:rPr>
        <w:t xml:space="preserve">Data Availability Statement: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is available from the Comprehensive R Archive Network</w:t>
      </w:r>
      <w:r>
        <w:t xml:space="preserve"> </w:t>
      </w:r>
      <w:r>
        <w:t xml:space="preserve">(CRAN) at https://cran.r-project.org/package=medicalcoder. Developmental</w:t>
      </w:r>
      <w:r>
        <w:t xml:space="preserve"> </w:t>
      </w:r>
      <w:r>
        <w:t xml:space="preserve">versions, additional testing suites, benchmarking, and examples are on GitHub at</w:t>
      </w:r>
      <w:r>
        <w:t xml:space="preserve"> </w:t>
      </w:r>
      <w:r>
        <w:t xml:space="preserve">https://github.com/dewittpe/medicalcoder/.</w:t>
      </w:r>
    </w:p>
    <w:p>
      <w:pPr>
        <w:pStyle w:val="BodyText"/>
      </w:pPr>
      <w:r>
        <w:t xml:space="preserve">The MIMIC-IV v3.1 data is available from PhysioNet at</w:t>
      </w:r>
      <w:r>
        <w:t xml:space="preserve"> </w:t>
      </w:r>
      <w:r>
        <w:t xml:space="preserve">https://physionet.org/content/mimiciv/3.1/.</w:t>
      </w:r>
    </w:p>
    <w:p>
      <w:pPr>
        <w:pStyle w:val="BodyText"/>
      </w:pPr>
      <w:r>
        <w:t xml:space="preserve">This manuscript was written using Quarto version</w:t>
      </w:r>
      <w:r>
        <w:t xml:space="preserve"> </w:t>
      </w:r>
      <w:r>
        <w:t xml:space="preserve">1.9.38</w:t>
      </w:r>
      <w:r>
        <w:t xml:space="preserve"> </w:t>
      </w:r>
      <w:r>
        <w:t xml:space="preserve">(https://quarto.org/) and R version 4.6.1 (2026-06-24).</w:t>
      </w:r>
      <w:r>
        <w:t xml:space="preserve"> </w:t>
      </w:r>
      <w:r>
        <w:t xml:space="preserve">All R code, materials, and dependencies can be found at</w:t>
      </w:r>
      <w:r>
        <w:t xml:space="preserve"> </w:t>
      </w:r>
      <w:r>
        <w:t xml:space="preserve">https://github.com/dewittpe/medicalcoder-jamia-open/.</w:t>
      </w:r>
    </w:p>
    <w:p>
      <w:pPr>
        <w:pStyle w:val="BodyText"/>
      </w:pPr>
      <w:r>
        <w:rPr>
          <w:b/>
          <w:bCs/>
          <w:u w:val="single"/>
        </w:rPr>
        <w:t xml:space="preserve">Contributorship Statement:</w:t>
      </w:r>
      <w:r>
        <w:t xml:space="preserve"> </w:t>
      </w:r>
      <w:r>
        <w:t xml:space="preserve">PED designed and developed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 package and drafted the manuscript. SR provided critical code</w:t>
      </w:r>
      <w:r>
        <w:t xml:space="preserve"> </w:t>
      </w:r>
      <w:r>
        <w:t xml:space="preserve">review and testing. JAF, SR, MR, and TDB all contributed to the conception,</w:t>
      </w:r>
      <w:r>
        <w:t xml:space="preserve"> </w:t>
      </w:r>
      <w:r>
        <w:t xml:space="preserve">design, and interpretation and provided important feedback. TDB provided</w:t>
      </w:r>
      <w:r>
        <w:t xml:space="preserve"> </w:t>
      </w:r>
      <w:r>
        <w:t xml:space="preserve">funding. All authors critically reviewed the manuscript for important</w:t>
      </w:r>
      <w:r>
        <w:t xml:space="preserve"> </w:t>
      </w:r>
      <w:r>
        <w:t xml:space="preserve">intellectual content and approved of the final version of the manuscript.</w:t>
      </w:r>
    </w:p>
    <w:p>
      <w:pPr>
        <w:pStyle w:val="BodyText"/>
      </w:pPr>
      <w:r>
        <w:rPr>
          <w:b/>
          <w:bCs/>
          <w:u w:val="single"/>
        </w:rPr>
        <w:t xml:space="preserve">Acknowledgments:</w:t>
      </w:r>
      <w:r>
        <w:t xml:space="preserve"> </w:t>
      </w:r>
      <w:r>
        <w:t xml:space="preserve">We thank Vincent Rubinetti for his assistance</w:t>
      </w:r>
      <w:r>
        <w:t xml:space="preserve"> </w:t>
      </w:r>
      <w:r>
        <w:t xml:space="preserve">in designing the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logo.</w:t>
      </w:r>
    </w:p>
    <w:p>
      <w:r>
        <w:br w:type="page"/>
      </w:r>
    </w:p>
    <w:bookmarkEnd w:id="15"/>
    <w:bookmarkEnd w:id="16"/>
    <w:bookmarkStart w:id="67" w:name="references"/>
    <w:p>
      <w:pPr>
        <w:pStyle w:val="Heading1"/>
      </w:pPr>
      <w:r>
        <w:t xml:space="preserve">References</w:t>
      </w:r>
    </w:p>
    <w:bookmarkStart w:id="66" w:name="refs"/>
    <w:bookmarkStart w:id="18" w:name="ref-quan2005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Quan H, Sundararajan V, Halfon P,</w:t>
      </w:r>
      <w:r>
        <w:t xml:space="preserve"> </w:t>
      </w:r>
      <w:r>
        <w:rPr>
          <w:i/>
          <w:iCs/>
        </w:rPr>
        <w:t xml:space="preserve">et al.</w:t>
      </w:r>
      <w:r>
        <w:t xml:space="preserve"> Coding algorithms for defining comorbidities in ICD-9-CM and ICD-10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2005;43:1130–9. doi:</w:t>
      </w:r>
      <w:r>
        <w:t xml:space="preserve"> </w:t>
      </w:r>
      <w:hyperlink r:id="rId17">
        <w:r>
          <w:rPr>
            <w:rStyle w:val="Hyperlink"/>
          </w:rPr>
          <w:t xml:space="preserve">10.1097/01.mlr.0000182534.19832.83</w:t>
        </w:r>
      </w:hyperlink>
    </w:p>
    <w:bookmarkEnd w:id="18"/>
    <w:bookmarkStart w:id="20" w:name="ref-quan2011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Quan H, Li B, Couris CM,</w:t>
      </w:r>
      <w:r>
        <w:t xml:space="preserve"> </w:t>
      </w:r>
      <w:r>
        <w:rPr>
          <w:i/>
          <w:iCs/>
        </w:rPr>
        <w:t xml:space="preserve">et al.</w:t>
      </w:r>
      <w:r>
        <w:t xml:space="preserve"> Updating and validating the charlson comorbidity index and score for risk adjustment in hospital discharge abstracts using data from 6 countries.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. 2011;173:676–82. doi:</w:t>
      </w:r>
      <w:r>
        <w:t xml:space="preserve"> </w:t>
      </w:r>
      <w:hyperlink r:id="rId19">
        <w:r>
          <w:rPr>
            <w:rStyle w:val="Hyperlink"/>
          </w:rPr>
          <w:t xml:space="preserve">10.1093/aje/kwq433</w:t>
        </w:r>
      </w:hyperlink>
    </w:p>
    <w:bookmarkEnd w:id="20"/>
    <w:bookmarkStart w:id="22" w:name="ref-feinstein2024pediatric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Feinstein JA, Hall M, Davidson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1">
        <w:r>
          <w:rPr>
            <w:rStyle w:val="Hyperlink"/>
          </w:rPr>
          <w:t xml:space="preserve">Pediatric complex chronic condition system version 3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. 2024;7:e2420579–9.</w:t>
      </w:r>
    </w:p>
    <w:bookmarkEnd w:id="22"/>
    <w:bookmarkStart w:id="24" w:name="ref-feudtner2014pediatric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Feudtner C, Feinstein JA, Zhong W,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3">
        <w:r>
          <w:rPr>
            <w:rStyle w:val="Hyperlink"/>
          </w:rPr>
          <w:t xml:space="preserve">Pediatric complex chronic conditions classification system version 2: Updated for ICD-10 and complex medical technology dependence and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BMC pediatrics</w:t>
      </w:r>
      <w:r>
        <w:t xml:space="preserve">. 2014;14:1–7.</w:t>
      </w:r>
    </w:p>
    <w:bookmarkEnd w:id="24"/>
    <w:bookmarkStart w:id="26" w:name="ref-ahrqicd10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Agency for Healthcare Research and Quality (AHRQ).</w:t>
      </w:r>
      <w:r>
        <w:t xml:space="preserve"> </w:t>
      </w:r>
      <w:hyperlink r:id="rId25">
        <w:r>
          <w:rPr>
            <w:rStyle w:val="Hyperlink"/>
          </w:rPr>
          <w:t xml:space="preserve">Elixhauser comorbidity software refined for ICD-10-CM healthcare cost and utilization project (HCUP)</w:t>
        </w:r>
      </w:hyperlink>
      <w:r>
        <w:t xml:space="preserve">. 2025.</w:t>
      </w:r>
    </w:p>
    <w:bookmarkEnd w:id="26"/>
    <w:bookmarkStart w:id="28" w:name="ref-glasheen2019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Glasheen WP, Cordier T, Gumpina R,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7">
        <w:r>
          <w:rPr>
            <w:rStyle w:val="Hyperlink"/>
          </w:rPr>
          <w:t xml:space="preserve">Charlson comorbidity index: ICD-9 update and ICD-10 translation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American health &amp; drug benefits</w:t>
      </w:r>
      <w:r>
        <w:t xml:space="preserve">. 2019;12:188.</w:t>
      </w:r>
    </w:p>
    <w:bookmarkEnd w:id="28"/>
    <w:bookmarkStart w:id="30" w:name="ref-ludvigsson2021adaptation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2021;21–41. doi:</w:t>
      </w:r>
      <w:r>
        <w:t xml:space="preserve"> </w:t>
      </w:r>
      <w:hyperlink r:id="rId29">
        <w:r>
          <w:rPr>
            <w:rStyle w:val="Hyperlink"/>
          </w:rPr>
          <w:t xml:space="preserve">https://doi.org/10.2147/CLEP.S282475</w:t>
        </w:r>
      </w:hyperlink>
    </w:p>
    <w:bookmarkEnd w:id="30"/>
    <w:bookmarkStart w:id="32" w:name="ref-ludvigsson2023adaptation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Ludvigsson JF, Appelros P, Askling J,</w:t>
      </w:r>
      <w:r>
        <w:t xml:space="preserve"> </w:t>
      </w:r>
      <w:r>
        <w:rPr>
          <w:i/>
          <w:iCs/>
        </w:rPr>
        <w:t xml:space="preserve">et al.</w:t>
      </w:r>
      <w:r>
        <w:t xml:space="preserve"> Adaptation of the charlson comorbidity index for register-based research in sweden [corrigendum].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. 2023;15:753–4. doi:</w:t>
      </w:r>
      <w:r>
        <w:t xml:space="preserve"> </w:t>
      </w:r>
      <w:hyperlink r:id="rId31">
        <w:r>
          <w:rPr>
            <w:rStyle w:val="Hyperlink"/>
          </w:rPr>
          <w:t xml:space="preserve">https://doi.org/10.2147/clep.s425901</w:t>
        </w:r>
      </w:hyperlink>
    </w:p>
    <w:bookmarkEnd w:id="32"/>
    <w:bookmarkStart w:id="33" w:name="ref-yurkovich2015systematic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Yurkovich M, Avina-Zubieta JA, Thomas J,</w:t>
      </w:r>
      <w:r>
        <w:t xml:space="preserve"> </w:t>
      </w:r>
      <w:r>
        <w:rPr>
          <w:i/>
          <w:iCs/>
        </w:rPr>
        <w:t xml:space="preserve">et al.</w:t>
      </w:r>
      <w:r>
        <w:t xml:space="preserve"> A systematic review identifies valid comorbidity indices derived from administrative health data.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2015;68:3–14.</w:t>
      </w:r>
    </w:p>
    <w:bookmarkEnd w:id="33"/>
    <w:bookmarkStart w:id="34" w:name="ref-guo2022evaluation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Guo Ie H, Tang C-H, Sheu M-L,</w:t>
      </w:r>
      <w:r>
        <w:t xml:space="preserve"> </w:t>
      </w:r>
      <w:r>
        <w:rPr>
          <w:i/>
          <w:iCs/>
        </w:rPr>
        <w:t xml:space="preserve">et al.</w:t>
      </w:r>
      <w:r>
        <w:t xml:space="preserve"> Evaluation of risk adjustment performance of diagnosis-based and medication-based comorbidity indices in patients with chronic obstructive pulmonary disease.</w:t>
      </w:r>
      <w:r>
        <w:t xml:space="preserve"> </w:t>
      </w:r>
      <w:r>
        <w:rPr>
          <w:i/>
          <w:iCs/>
        </w:rPr>
        <w:t xml:space="preserve">Plos one</w:t>
      </w:r>
      <w:r>
        <w:t xml:space="preserve">. 2022;17:e0270468.</w:t>
      </w:r>
    </w:p>
    <w:bookmarkEnd w:id="34"/>
    <w:bookmarkStart w:id="35" w:name="ref-li2008risk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Li B, Evans D, Faris P,</w:t>
      </w:r>
      <w:r>
        <w:t xml:space="preserve"> </w:t>
      </w:r>
      <w:r>
        <w:rPr>
          <w:i/>
          <w:iCs/>
        </w:rPr>
        <w:t xml:space="preserve">et al.</w:t>
      </w:r>
      <w:r>
        <w:t xml:space="preserve"> Risk adjustment performance of charlson and elixhauser comorbidities in ICD-9 and ICD-10 administrative databases.</w:t>
      </w:r>
      <w:r>
        <w:t xml:space="preserve"> </w:t>
      </w:r>
      <w:r>
        <w:rPr>
          <w:i/>
          <w:iCs/>
        </w:rPr>
        <w:t xml:space="preserve">BMC health services research</w:t>
      </w:r>
      <w:r>
        <w:t xml:space="preserve">. 2008;8:12.</w:t>
      </w:r>
    </w:p>
    <w:bookmarkEnd w:id="35"/>
    <w:bookmarkStart w:id="37" w:name="ref-r-comorbidity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Gasparini A. Comorbidity: An r package for computing comorbidity scores.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. 2018;3:648. doi:</w:t>
      </w:r>
      <w:r>
        <w:t xml:space="preserve"> </w:t>
      </w:r>
      <w:hyperlink r:id="rId36">
        <w:r>
          <w:rPr>
            <w:rStyle w:val="Hyperlink"/>
          </w:rPr>
          <w:t xml:space="preserve">10.21105/joss.00648</w:t>
        </w:r>
      </w:hyperlink>
    </w:p>
    <w:bookmarkEnd w:id="37"/>
    <w:bookmarkStart w:id="39" w:name="ref-dewitt2026pccc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DeWitt P, Feinstein J, Russell S.</w:t>
      </w:r>
      <w:r>
        <w:t xml:space="preserve"> </w:t>
      </w:r>
      <w:hyperlink r:id="rId38">
        <w:r>
          <w:rPr>
            <w:rStyle w:val="Hyperlink"/>
            <w:i/>
            <w:iCs/>
          </w:rPr>
          <w:t xml:space="preserve">Pccc: Pediatric complex chronic conditions</w:t>
        </w:r>
      </w:hyperlink>
      <w:r>
        <w:t xml:space="preserve">. 2026.</w:t>
      </w:r>
    </w:p>
    <w:bookmarkEnd w:id="39"/>
    <w:bookmarkStart w:id="40" w:name="ref-pcccv3sas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r>
        <w:t xml:space="preserve">Complex chronic conditions version 3.0. 2024.</w:t>
      </w:r>
    </w:p>
    <w:bookmarkEnd w:id="40"/>
    <w:bookmarkStart w:id="42" w:name="ref-r-icdcomorbid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Nguyen A, Lee S.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Icdcomorbid: Mapping ICD codes to comorbidity</w:t>
        </w:r>
      </w:hyperlink>
      <w:r>
        <w:t xml:space="preserve">. 2024.</w:t>
      </w:r>
    </w:p>
    <w:bookmarkEnd w:id="42"/>
    <w:bookmarkStart w:id="44" w:name="ref-r-multimorbidity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r>
        <w:t xml:space="preserve">Bensken W.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Multimorbidity: Harmonizing various comorbidity, multimorbidity, and frailty measures</w:t>
        </w:r>
      </w:hyperlink>
      <w:r>
        <w:t xml:space="preserve">. 2023.</w:t>
      </w:r>
    </w:p>
    <w:bookmarkEnd w:id="44"/>
    <w:bookmarkStart w:id="46" w:name="ref-r-icd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Wasey J.</w:t>
      </w:r>
      <w:r>
        <w:t xml:space="preserve"> </w:t>
      </w:r>
      <w:hyperlink r:id="rId45">
        <w:r>
          <w:rPr>
            <w:rStyle w:val="Hyperlink"/>
            <w:i/>
            <w:iCs/>
          </w:rPr>
          <w:t xml:space="preserve">Icd: Comorbidity calculations and tools for ICD-9 and ICD-10 codes</w:t>
        </w:r>
      </w:hyperlink>
      <w:r>
        <w:t xml:space="preserve">. 2020.</w:t>
      </w:r>
    </w:p>
    <w:bookmarkEnd w:id="46"/>
    <w:bookmarkStart w:id="47" w:name="ref-hripcsak2013next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Hripcsak G, Albers DJ. Next-generation phenotyping of electronic health records.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2013;20:117–21.</w:t>
      </w:r>
    </w:p>
    <w:bookmarkEnd w:id="47"/>
    <w:bookmarkStart w:id="48" w:name="ref-casey2016using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Casey JA, Schwartz BS, Stewart WF,</w:t>
      </w:r>
      <w:r>
        <w:t xml:space="preserve"> </w:t>
      </w:r>
      <w:r>
        <w:rPr>
          <w:i/>
          <w:iCs/>
        </w:rPr>
        <w:t xml:space="preserve">et al.</w:t>
      </w:r>
      <w:r>
        <w:t xml:space="preserve"> Using electronic health records for population health research: A review of methods and applications.</w:t>
      </w:r>
      <w:r>
        <w:t xml:space="preserve"> </w:t>
      </w:r>
      <w:r>
        <w:rPr>
          <w:i/>
          <w:iCs/>
        </w:rPr>
        <w:t xml:space="preserve">Annual review of public health</w:t>
      </w:r>
      <w:r>
        <w:t xml:space="preserve">. 2016;37:61–81.</w:t>
      </w:r>
    </w:p>
    <w:bookmarkEnd w:id="48"/>
    <w:bookmarkStart w:id="49" w:name="ref-jensen2014temporal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Jensen AB, Moseley PL, Oprea TI,</w:t>
      </w:r>
      <w:r>
        <w:t xml:space="preserve"> </w:t>
      </w:r>
      <w:r>
        <w:rPr>
          <w:i/>
          <w:iCs/>
        </w:rPr>
        <w:t xml:space="preserve">et al.</w:t>
      </w:r>
      <w:r>
        <w:t xml:space="preserve"> Temporal disease trajectories condensed from population-wide registry data covering 6.2 million patients.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. 2014;5:4022.</w:t>
      </w:r>
    </w:p>
    <w:bookmarkEnd w:id="49"/>
    <w:bookmarkStart w:id="50" w:name="ref-ahrq2017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r>
        <w:t xml:space="preserve">Healthcare Cost and Utilization Project (HCUP). Elixhauser comorbidity software for ICD-9-CM. 2017.</w:t>
      </w:r>
    </w:p>
    <w:bookmarkEnd w:id="50"/>
    <w:bookmarkStart w:id="52" w:name="ref-feinstein2018pccc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Feinstein JA, Russell S, DeWitt PE,</w:t>
      </w:r>
      <w:r>
        <w:t xml:space="preserve"> </w:t>
      </w:r>
      <w:r>
        <w:rPr>
          <w:i/>
          <w:iCs/>
        </w:rPr>
        <w:t xml:space="preserve">et al.</w:t>
      </w:r>
      <w:r>
        <w:t xml:space="preserve"> R package for pediatric complex chronic condition classification.</w:t>
      </w:r>
      <w:r>
        <w:t xml:space="preserve"> </w:t>
      </w:r>
      <w:r>
        <w:rPr>
          <w:i/>
          <w:iCs/>
        </w:rPr>
        <w:t xml:space="preserve">JAMA Pediatrics</w:t>
      </w:r>
      <w:r>
        <w:t xml:space="preserve">. 2018;172:596–8. doi:</w:t>
      </w:r>
      <w:r>
        <w:t xml:space="preserve"> </w:t>
      </w:r>
      <w:hyperlink r:id="rId51">
        <w:r>
          <w:rPr>
            <w:rStyle w:val="Hyperlink"/>
          </w:rPr>
          <w:t xml:space="preserve">10.1001/jamapediatrics.2018.0256</w:t>
        </w:r>
      </w:hyperlink>
    </w:p>
    <w:bookmarkEnd w:id="52"/>
    <w:bookmarkStart w:id="53" w:name="ref-johnson2018mimic"/>
    <w:p>
      <w:pPr>
        <w:pStyle w:val="Bibliography"/>
      </w:pPr>
      <w:r>
        <w:t xml:space="preserve">23</w:t>
      </w:r>
      <w:r>
        <w:t xml:space="preserve"> </w:t>
      </w:r>
      <w:r>
        <w:t xml:space="preserve">	</w:t>
      </w:r>
      <w:r>
        <w:t xml:space="preserve">Johnson AEW, Stone DJ, Celi LA,</w:t>
      </w:r>
      <w:r>
        <w:t xml:space="preserve"> </w:t>
      </w:r>
      <w:r>
        <w:rPr>
          <w:i/>
          <w:iCs/>
        </w:rPr>
        <w:t xml:space="preserve">et al.</w:t>
      </w:r>
      <w:r>
        <w:t xml:space="preserve"> The MIMIC code repository: Enabling reproducibility in critical care research.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. 2018;25:32–9.</w:t>
      </w:r>
    </w:p>
    <w:bookmarkEnd w:id="53"/>
    <w:bookmarkStart w:id="55" w:name="ref-johnson2022mimiccode"/>
    <w:p>
      <w:pPr>
        <w:pStyle w:val="Bibliography"/>
      </w:pPr>
      <w:r>
        <w:t xml:space="preserve">24</w:t>
      </w:r>
      <w:r>
        <w:t xml:space="preserve"> </w:t>
      </w:r>
      <w:r>
        <w:t xml:space="preserve">	</w:t>
      </w:r>
      <w:r>
        <w:t xml:space="preserve">Johnson AEW, Pollard TJ, Blundell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4">
        <w:r>
          <w:rPr>
            <w:rStyle w:val="Hyperlink"/>
          </w:rPr>
          <w:t xml:space="preserve">MIT-LCP/mimic-code: MIMIC Code v2.2.1</w:t>
        </w:r>
      </w:hyperlink>
      <w:r>
        <w:t xml:space="preserve">. 2022.</w:t>
      </w:r>
    </w:p>
    <w:bookmarkEnd w:id="55"/>
    <w:bookmarkStart w:id="56" w:name="ref-watson2025trends"/>
    <w:p>
      <w:pPr>
        <w:pStyle w:val="Bibliography"/>
      </w:pPr>
      <w:r>
        <w:t xml:space="preserve">25</w:t>
      </w:r>
      <w:r>
        <w:t xml:space="preserve"> </w:t>
      </w:r>
      <w:r>
        <w:t xml:space="preserve">	</w:t>
      </w:r>
      <w:r>
        <w:t xml:space="preserve">Watson KB, Wiltz JL, Nhim K,</w:t>
      </w:r>
      <w:r>
        <w:t xml:space="preserve"> </w:t>
      </w:r>
      <w:r>
        <w:rPr>
          <w:i/>
          <w:iCs/>
        </w:rPr>
        <w:t xml:space="preserve">et al.</w:t>
      </w:r>
      <w:r>
        <w:t xml:space="preserve"> Trends in multiple chronic conditions among US adults, by life stage, behavioral risk factor surveillance system, 2013–2023.</w:t>
      </w:r>
      <w:r>
        <w:t xml:space="preserve"> </w:t>
      </w:r>
      <w:r>
        <w:rPr>
          <w:i/>
          <w:iCs/>
        </w:rPr>
        <w:t xml:space="preserve">Preventing chronic disease</w:t>
      </w:r>
      <w:r>
        <w:t xml:space="preserve">. 2025;22:E15.</w:t>
      </w:r>
    </w:p>
    <w:bookmarkEnd w:id="56"/>
    <w:bookmarkStart w:id="57" w:name="ref-sundararajan2004"/>
    <w:p>
      <w:pPr>
        <w:pStyle w:val="Bibliography"/>
      </w:pPr>
      <w:r>
        <w:t xml:space="preserve">26</w:t>
      </w:r>
      <w:r>
        <w:t xml:space="preserve"> </w:t>
      </w:r>
      <w:r>
        <w:t xml:space="preserve">	</w:t>
      </w:r>
      <w:r>
        <w:t xml:space="preserve">Sundararajan V, Henderson T, Perry C,</w:t>
      </w:r>
      <w:r>
        <w:t xml:space="preserve"> </w:t>
      </w:r>
      <w:r>
        <w:rPr>
          <w:i/>
          <w:iCs/>
        </w:rPr>
        <w:t xml:space="preserve">et al.</w:t>
      </w:r>
      <w:r>
        <w:t xml:space="preserve"> New ICD-10 version of the charlson comorbidity index predicted in-hospital mortality.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. 2004;57:1288–94.</w:t>
      </w:r>
    </w:p>
    <w:bookmarkEnd w:id="57"/>
    <w:bookmarkStart w:id="58" w:name="ref-beyrer2021validation"/>
    <w:p>
      <w:pPr>
        <w:pStyle w:val="Bibliography"/>
      </w:pPr>
      <w:r>
        <w:t xml:space="preserve">27</w:t>
      </w:r>
      <w:r>
        <w:t xml:space="preserve"> </w:t>
      </w:r>
      <w:r>
        <w:t xml:space="preserve">	</w:t>
      </w:r>
      <w:r>
        <w:t xml:space="preserve">Beyrer J, Manjelievskaia J, Bonafede M,</w:t>
      </w:r>
      <w:r>
        <w:t xml:space="preserve"> </w:t>
      </w:r>
      <w:r>
        <w:rPr>
          <w:i/>
          <w:iCs/>
        </w:rPr>
        <w:t xml:space="preserve">et al.</w:t>
      </w:r>
      <w:r>
        <w:t xml:space="preserve"> Validation of an international classification of disease, 10th revision coding adaptation for the charlson comorbidity index in united states healthcare claims data.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 2021;30:582–93.</w:t>
      </w:r>
    </w:p>
    <w:bookmarkEnd w:id="58"/>
    <w:bookmarkStart w:id="60" w:name="ref-elixhauser1998"/>
    <w:p>
      <w:pPr>
        <w:pStyle w:val="Bibliography"/>
      </w:pPr>
      <w:r>
        <w:t xml:space="preserve">28</w:t>
      </w:r>
      <w:r>
        <w:t xml:space="preserve"> </w:t>
      </w:r>
      <w:r>
        <w:t xml:space="preserve">	</w:t>
      </w:r>
      <w:r>
        <w:t xml:space="preserve">Elixhauser A, Steiner C, Harris DR,</w:t>
      </w:r>
      <w:r>
        <w:t xml:space="preserve"> </w:t>
      </w:r>
      <w:r>
        <w:rPr>
          <w:i/>
          <w:iCs/>
        </w:rPr>
        <w:t xml:space="preserve">et al.</w:t>
      </w:r>
      <w:r>
        <w:t xml:space="preserve"> Comorbidity measures for use with administrative data.</w:t>
      </w:r>
      <w:r>
        <w:t xml:space="preserve"> </w:t>
      </w:r>
      <w:r>
        <w:rPr>
          <w:i/>
          <w:iCs/>
        </w:rPr>
        <w:t xml:space="preserve">Medical care</w:t>
      </w:r>
      <w:r>
        <w:t xml:space="preserve">. 1998;36:8–27. doi:</w:t>
      </w:r>
      <w:r>
        <w:t xml:space="preserve"> </w:t>
      </w:r>
      <w:hyperlink r:id="rId59">
        <w:r>
          <w:rPr>
            <w:rStyle w:val="Hyperlink"/>
          </w:rPr>
          <w:t xml:space="preserve">10.1097/00005650-199801000-00004</w:t>
        </w:r>
      </w:hyperlink>
    </w:p>
    <w:bookmarkEnd w:id="60"/>
    <w:bookmarkStart w:id="62" w:name="ref-PhysioNet-mimiciv-3.1"/>
    <w:p>
      <w:pPr>
        <w:pStyle w:val="Bibliography"/>
      </w:pPr>
      <w:r>
        <w:t xml:space="preserve">29</w:t>
      </w:r>
      <w:r>
        <w:t xml:space="preserve"> </w:t>
      </w:r>
      <w:r>
        <w:t xml:space="preserve">	</w:t>
      </w:r>
      <w:r>
        <w:t xml:space="preserve">Johnson A, Bulgarelli L, Pollard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MIMIC-IV</w:t>
      </w:r>
      <w:r>
        <w:t xml:space="preserve">.</w:t>
      </w:r>
      <w:r>
        <w:t xml:space="preserve"> </w:t>
      </w:r>
      <w:r>
        <w:rPr>
          <w:i/>
          <w:iCs/>
        </w:rPr>
        <w:t xml:space="preserve">PhysioNet</w:t>
      </w:r>
      <w:r>
        <w:t xml:space="preserve">. Published Online First: October 2024. doi:</w:t>
      </w:r>
      <w:r>
        <w:t xml:space="preserve"> </w:t>
      </w:r>
      <w:hyperlink r:id="rId61">
        <w:r>
          <w:rPr>
            <w:rStyle w:val="Hyperlink"/>
          </w:rPr>
          <w:t xml:space="preserve">10.13026/kpb9-mt58</w:t>
        </w:r>
      </w:hyperlink>
    </w:p>
    <w:bookmarkEnd w:id="62"/>
    <w:bookmarkStart w:id="63" w:name="ref-johnson2023mimic"/>
    <w:p>
      <w:pPr>
        <w:pStyle w:val="Bibliography"/>
      </w:pPr>
      <w:r>
        <w:t xml:space="preserve">30</w:t>
      </w:r>
      <w:r>
        <w:t xml:space="preserve"> </w:t>
      </w:r>
      <w:r>
        <w:t xml:space="preserve">	</w:t>
      </w:r>
      <w:r>
        <w:t xml:space="preserve">Johnson AE, Bulgarelli L, Shen L,</w:t>
      </w:r>
      <w:r>
        <w:t xml:space="preserve"> </w:t>
      </w:r>
      <w:r>
        <w:rPr>
          <w:i/>
          <w:iCs/>
        </w:rPr>
        <w:t xml:space="preserve">et al.</w:t>
      </w:r>
      <w:r>
        <w:t xml:space="preserve"> MIMIC-IV, a freely accessible electronic health record dataset.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. 2023;10:1.</w:t>
      </w:r>
    </w:p>
    <w:bookmarkEnd w:id="63"/>
    <w:bookmarkStart w:id="65" w:name="ref-PhysioNet2000"/>
    <w:p>
      <w:pPr>
        <w:pStyle w:val="Bibliography"/>
      </w:pPr>
      <w:r>
        <w:t xml:space="preserve">31</w:t>
      </w:r>
      <w:r>
        <w:t xml:space="preserve"> </w:t>
      </w:r>
      <w:r>
        <w:t xml:space="preserve">	</w:t>
      </w:r>
      <w:r>
        <w:t xml:space="preserve">Goldberger AL, Amaral LAN, Glass L,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PhysioBank, PhysioToolkit, and PhysioNet: Components of a New Research Resource for Complex Physiologic Signals</w:t>
      </w:r>
      <w:r>
        <w:t xml:space="preserve">.</w:t>
      </w:r>
      <w:r>
        <w:t xml:space="preserve"> </w:t>
      </w:r>
      <w:r>
        <w:rPr>
          <w:i/>
          <w:iCs/>
        </w:rPr>
        <w:t xml:space="preserve">Circulation</w:t>
      </w:r>
      <w:r>
        <w:t xml:space="preserve">. 2000;101:e215–20. doi:</w:t>
      </w:r>
      <w:r>
        <w:t xml:space="preserve"> </w:t>
      </w:r>
      <w:hyperlink r:id="rId64">
        <w:r>
          <w:rPr>
            <w:rStyle w:val="Hyperlink"/>
          </w:rPr>
          <w:t xml:space="preserve">10.1161/01.cir.101.23.e215</w:t>
        </w:r>
      </w:hyperlink>
    </w:p>
    <w:bookmarkEnd w:id="65"/>
    <w:bookmarkEnd w:id="66"/>
    <w:p>
      <w:r>
        <w:br w:type="page"/>
      </w:r>
    </w:p>
    <w:bookmarkEnd w:id="67"/>
    <w:bookmarkStart w:id="68" w:name="figures"/>
    <w:p>
      <w:pPr>
        <w:pStyle w:val="Heading1"/>
      </w:pPr>
      <w:r>
        <w:t xml:space="preserve">Figures</w:t>
      </w:r>
    </w:p>
    <w:p>
      <w:pPr>
        <w:pStyle w:val="FirstParagraph"/>
      </w:pPr>
      <w:r>
        <w:rPr>
          <w:b/>
          <w:bCs/>
        </w:rPr>
        <w:t xml:space="preserve">Figure 1:</w:t>
      </w:r>
      <w:r>
        <w:t xml:space="preserve"> </w:t>
      </w:r>
      <w:r>
        <w:t xml:space="preserve">Interface for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function. The</w:t>
      </w:r>
      <w:r>
        <w:t xml:space="preserve"> </w:t>
      </w:r>
      <w:r>
        <w:t xml:space="preserve">function requires a data object containing one ICD code per row, the column</w:t>
      </w:r>
      <w:r>
        <w:t xml:space="preserve"> </w:t>
      </w:r>
      <w:r>
        <w:t xml:space="preserve">containing ICD codes, and the comorbidity algorithm specification (e.g.,</w:t>
      </w:r>
      <w:r>
        <w:t xml:space="preserve"> </w:t>
      </w:r>
      <w:r>
        <w:t xml:space="preserve">Charlson or Elixhauser variants). Optional arguments allow users to specify</w:t>
      </w:r>
      <w:r>
        <w:t xml:space="preserve"> </w:t>
      </w:r>
      <w:r>
        <w:t xml:space="preserve">encounter identifiers, ICD version, diagnosis type, present-on-admission</w:t>
      </w:r>
      <w:r>
        <w:t xml:space="preserve"> </w:t>
      </w:r>
      <w:r>
        <w:t xml:space="preserve">indicators, patient age, and primary diagnosis flags. Defaults control how</w:t>
      </w:r>
      <w:r>
        <w:t xml:space="preserve"> </w:t>
      </w:r>
      <w:r>
        <w:t xml:space="preserve">comorbidities are identified, including encounter-level (</w:t>
      </w:r>
      <w:r>
        <w:rPr>
          <w:rStyle w:val="VerbatimChar"/>
        </w:rPr>
        <w:t xml:space="preserve">flag.method = "current"</w:t>
      </w:r>
      <w:r>
        <w:t xml:space="preserve">) or longitudinal (</w:t>
      </w:r>
      <w:r>
        <w:rPr>
          <w:rStyle w:val="VerbatimChar"/>
        </w:rPr>
        <w:t xml:space="preserve">flag.method = "cumulative"</w:t>
      </w:r>
      <w:r>
        <w:t xml:space="preserve">) evaluation and how ICD</w:t>
      </w:r>
      <w:r>
        <w:t xml:space="preserve"> </w:t>
      </w:r>
      <w:r>
        <w:t xml:space="preserve">codes are matched.</w:t>
      </w:r>
    </w:p>
    <w:p>
      <w:pPr>
        <w:pStyle w:val="BodyText"/>
      </w:pPr>
      <w:r>
        <w:rPr>
          <w:b/>
          <w:bCs/>
        </w:rPr>
        <w:t xml:space="preserve">Figure 1 ALT TEXT:</w:t>
      </w:r>
      <w:r>
        <w:t xml:space="preserve"> </w:t>
      </w:r>
      <w:r>
        <w:t xml:space="preserve">Diagram showing the argument structure of the R function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. The figure lists three required inputs: a data</w:t>
      </w:r>
      <w:r>
        <w:t xml:space="preserve"> </w:t>
      </w:r>
      <w:r>
        <w:t xml:space="preserve">frame containing one ICD code per row (data), the column name containing ICD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icd.codes</w:t>
      </w:r>
      <w:r>
        <w:t xml:space="preserve">), and the comorbidity method specification (</w:t>
      </w:r>
      <w:r>
        <w:rPr>
          <w:rStyle w:val="VerbatimChar"/>
        </w:rPr>
        <w:t xml:space="preserve">method</w:t>
      </w:r>
      <w:r>
        <w:t xml:space="preserve">, such as</w:t>
      </w:r>
      <w:r>
        <w:t xml:space="preserve"> </w:t>
      </w:r>
      <w:r>
        <w:t xml:space="preserve">“charlson_quan2005”</w:t>
      </w:r>
      <w:r>
        <w:t xml:space="preserve">). Additional optional parameters allow users to specify</w:t>
      </w:r>
      <w:r>
        <w:t xml:space="preserve"> </w:t>
      </w:r>
      <w:r>
        <w:t xml:space="preserve">encounter identifiers, ICD version (9 or 10), diagnosis versus procedure</w:t>
      </w:r>
      <w:r>
        <w:t xml:space="preserve"> </w:t>
      </w:r>
      <w:r>
        <w:t xml:space="preserve">indicators, present-on-admission status, patient age (for Charlson algorithms),</w:t>
      </w:r>
      <w:r>
        <w:t xml:space="preserve"> </w:t>
      </w:r>
      <w:r>
        <w:t xml:space="preserve">and primary diagnosis flags. Default arguments include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 </w:t>
      </w:r>
      <w:r>
        <w:t xml:space="preserve">for encounter-level detection,</w:t>
      </w:r>
      <w:r>
        <w:t xml:space="preserve"> </w:t>
      </w:r>
      <w:r>
        <w:rPr>
          <w:rStyle w:val="VerbatimChar"/>
        </w:rPr>
        <w:t xml:space="preserve">full.codes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compact.codes =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subconditions = 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2:</w:t>
      </w:r>
      <w:r>
        <w:t xml:space="preserve"> </w:t>
      </w:r>
      <w:r>
        <w:t xml:space="preserve">Percent of subjects and encounters in the MIMIC-IV dataset with</w:t>
      </w:r>
      <w:r>
        <w:t xml:space="preserve"> </w:t>
      </w:r>
      <w:r>
        <w:t xml:space="preserve">different comorbidity profiles under</w:t>
      </w:r>
      <w:r>
        <w:t xml:space="preserve"> </w:t>
      </w:r>
      <w:r>
        <w:rPr>
          <w:rStyle w:val="VerbatimChar"/>
        </w:rPr>
        <w:t xml:space="preserve">flag.method = "cumulative"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flag.method = "current"</w:t>
      </w:r>
      <w:r>
        <w:t xml:space="preserve">. The bars are not mutually exclusive.</w:t>
      </w:r>
      <w:r>
        <w:t xml:space="preserve"> </w:t>
      </w:r>
      <w:r>
        <w:t xml:space="preserve">“Different risk</w:t>
      </w:r>
      <w:r>
        <w:t xml:space="preserve"> </w:t>
      </w:r>
      <w:r>
        <w:t xml:space="preserve">profile”</w:t>
      </w:r>
      <w:r>
        <w:t xml:space="preserve"> </w:t>
      </w:r>
      <w:r>
        <w:t xml:space="preserve">is an aggregation measure indicating any difference in the comorbidity</w:t>
      </w:r>
      <w:r>
        <w:t xml:space="preserve"> </w:t>
      </w:r>
      <w:r>
        <w:t xml:space="preserve">classification or count between cumulative and current flagging.</w:t>
      </w:r>
      <w:r>
        <w:t xml:space="preserve"> </w:t>
      </w:r>
      <w:r>
        <w:t xml:space="preserve">The remaining bars describe selected components of that aggregate, including</w:t>
      </w:r>
      <w:r>
        <w:t xml:space="preserve"> </w:t>
      </w:r>
      <w:r>
        <w:t xml:space="preserve">encounters with no encounter-level comorbidity but at least one cumulative</w:t>
      </w:r>
      <w:r>
        <w:t xml:space="preserve"> </w:t>
      </w:r>
      <w:r>
        <w:t xml:space="preserve">comorbidity, classification or severity differences with the same comorbidity</w:t>
      </w:r>
      <w:r>
        <w:t xml:space="preserve"> </w:t>
      </w:r>
      <w:r>
        <w:t xml:space="preserve">count, and differences involving additional comorbidities. Panel A uses subjects</w:t>
      </w:r>
      <w:r>
        <w:t xml:space="preserve"> </w:t>
      </w:r>
      <w:r>
        <w:t xml:space="preserve">with at least two encounters and at least one non-initial encounter with a</w:t>
      </w:r>
      <w:r>
        <w:t xml:space="preserve"> </w:t>
      </w:r>
      <w:r>
        <w:t xml:space="preserve">comorbidity flagged under 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 Panel B</w:t>
      </w:r>
      <w:r>
        <w:t xml:space="preserve"> </w:t>
      </w:r>
      <w:r>
        <w:t xml:space="preserve">uses non-initial encounters with at least one comorbidity flagged under</w:t>
      </w:r>
      <w:r>
        <w:t xml:space="preserve"> </w:t>
      </w:r>
      <w:r>
        <w:t xml:space="preserve">flag.method =</w:t>
      </w:r>
      <w:r>
        <w:t xml:space="preserve"> </w:t>
      </w:r>
      <w:r>
        <w:t xml:space="preserve">“cumulative”</w:t>
      </w:r>
      <w:r>
        <w:t xml:space="preserve"> </w:t>
      </w:r>
      <w:r>
        <w:t xml:space="preserve">as the denominator.</w:t>
      </w:r>
    </w:p>
    <w:p>
      <w:pPr>
        <w:pStyle w:val="BodyText"/>
      </w:pPr>
      <w:r>
        <w:rPr>
          <w:b/>
          <w:bCs/>
        </w:rPr>
        <w:t xml:space="preserve">Figure 2 ALT TEXT:</w:t>
      </w:r>
      <w:r>
        <w:t xml:space="preserve"> </w:t>
      </w:r>
      <w:r>
        <w:t xml:space="preserve">Two-panel grouped bar chart comparing how cumulative</w:t>
      </w:r>
      <w:r>
        <w:t xml:space="preserve"> </w:t>
      </w:r>
      <w:r>
        <w:t xml:space="preserve">longitudinal flagging changes comorbidity results relative to encounter-level</w:t>
      </w:r>
      <w:r>
        <w:t xml:space="preserve"> </w:t>
      </w:r>
      <w:r>
        <w:t xml:space="preserve">current flagging for three algorithms: Charlson, Elixhauser, and PCCC v3.1.</w:t>
      </w:r>
      <w:r>
        <w:t xml:space="preserve"> </w:t>
      </w:r>
      <w:r>
        <w:t xml:space="preserve">Panel A shows the percentage of subjects and Panel B shows the percentage of</w:t>
      </w:r>
      <w:r>
        <w:t xml:space="preserve"> </w:t>
      </w:r>
      <w:r>
        <w:t xml:space="preserve">encounters in four categories: different risk profile, zero encounter-level</w:t>
      </w:r>
      <w:r>
        <w:t xml:space="preserve"> </w:t>
      </w:r>
      <w:r>
        <w:t xml:space="preserve">comorbidities but at least one longitudinal comorbidity, only differences in</w:t>
      </w:r>
      <w:r>
        <w:t xml:space="preserve"> </w:t>
      </w:r>
      <w:r>
        <w:t xml:space="preserve">classification, and differences in classification and/or additional</w:t>
      </w:r>
      <w:r>
        <w:t xml:space="preserve"> </w:t>
      </w:r>
      <w:r>
        <w:t xml:space="preserve">comorbidities. Across both panels, the largest percentages are for different</w:t>
      </w:r>
      <w:r>
        <w:t xml:space="preserve"> </w:t>
      </w:r>
      <w:r>
        <w:t xml:space="preserve">risk profile and for differences in classification and/or additional</w:t>
      </w:r>
      <w:r>
        <w:t xml:space="preserve"> </w:t>
      </w:r>
      <w:r>
        <w:t xml:space="preserve">comorbidities, with Elixhauser generally highest, PCCC v3.1 intermediate, and</w:t>
      </w:r>
      <w:r>
        <w:t xml:space="preserve"> </w:t>
      </w:r>
      <w:r>
        <w:t xml:space="preserve">Charlson lowest; the other two categories are much smaller.</w:t>
      </w:r>
    </w:p>
    <w:p>
      <w:pPr>
        <w:pStyle w:val="BodyText"/>
      </w:pPr>
      <w:r>
        <w:rPr>
          <w:b/>
          <w:bCs/>
        </w:rPr>
        <w:t xml:space="preserve">Figure 3:</w:t>
      </w:r>
      <w:r>
        <w:t xml:space="preserve"> </w:t>
      </w:r>
      <w:r>
        <w:t xml:space="preserve">The median time (in seconds; bar height), and IQR (error bars),</w:t>
      </w:r>
      <w:r>
        <w:t xml:space="preserve"> </w:t>
      </w:r>
      <w:r>
        <w:t xml:space="preserve">required to flag comorbidities in the MIMIC-IV v3.1 dataset</w:t>
      </w:r>
      <w:r>
        <w:t xml:space="preserve"> </w:t>
      </w:r>
      <w:r>
        <w:t xml:space="preserve">(7,365,770 rows,</w:t>
      </w:r>
      <w:r>
        <w:t xml:space="preserve"> </w:t>
      </w:r>
      <w:r>
        <w:t xml:space="preserve">364,627 unique subjects,</w:t>
      </w:r>
      <w:r>
        <w:t xml:space="preserve"> </w:t>
      </w:r>
      <w:r>
        <w:t xml:space="preserve">687,203 unique</w:t>
      </w:r>
      <w:r>
        <w:t xml:space="preserve"> </w:t>
      </w:r>
      <w:r>
        <w:t xml:space="preserve">encounters) by utility (panels) and flagging method for N = 10 iterations.</w:t>
      </w:r>
      <w:r>
        <w:t xml:space="preserve"> </w:t>
      </w:r>
      <w:r>
        <w:t xml:space="preserve">The MIMIC-IV code time is based on running RSQLite code for an in-memory</w:t>
      </w:r>
      <w:r>
        <w:t xml:space="preserve"> </w:t>
      </w:r>
      <w:r>
        <w:t xml:space="preserve">database. R packages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require multiple calls and</w:t>
      </w:r>
      <w:r>
        <w:t xml:space="preserve"> </w:t>
      </w:r>
      <w:r>
        <w:t xml:space="preserve">aggregations to handle the mixed use of ICD-9 and ICD-10 within the MIMIC-IV</w:t>
      </w:r>
      <w:r>
        <w:t xml:space="preserve"> </w:t>
      </w:r>
      <w:r>
        <w:t xml:space="preserve">dataset. Applying each of the comorbidity algorithms and flagging methods</w:t>
      </w:r>
      <w:r>
        <w:t xml:space="preserve"> </w:t>
      </w:r>
      <w:r>
        <w:t xml:space="preserve">within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requires only modifying the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flag.method</w:t>
      </w:r>
      <w:r>
        <w:t xml:space="preserve"> </w:t>
      </w:r>
      <w:r>
        <w:t xml:space="preserve">argument to the</w:t>
      </w:r>
      <w:r>
        <w:t xml:space="preserve"> </w:t>
      </w:r>
      <w:r>
        <w:rPr>
          <w:rStyle w:val="VerbatimChar"/>
        </w:rPr>
        <w:t xml:space="preserve">medicalcoder::comorbidities()</w:t>
      </w:r>
      <w:r>
        <w:t xml:space="preserve"> </w:t>
      </w:r>
      <w:r>
        <w:t xml:space="preserve">call. Some panels are sparse,</w:t>
      </w:r>
      <w:r>
        <w:t xml:space="preserve"> </w:t>
      </w:r>
      <w:r>
        <w:t xml:space="preserve">because each comparator supports fewer methods. The</w:t>
      </w:r>
      <w:r>
        <w:t xml:space="preserve"> </w:t>
      </w:r>
      <w:r>
        <w:t xml:space="preserve">times were recorded when building the supplement in R version 4.6.1 (2026-06-24) on</w:t>
      </w:r>
      <w:r>
        <w:t xml:space="preserve"> </w:t>
      </w:r>
      <w:r>
        <w:t xml:space="preserve">macOS Tahoe 26.5.2 with an Apple M5 Pro and 48.0 GB RAM.</w:t>
      </w:r>
    </w:p>
    <w:p>
      <w:pPr>
        <w:pStyle w:val="BodyText"/>
      </w:pPr>
      <w:r>
        <w:rPr>
          <w:b/>
          <w:bCs/>
        </w:rPr>
        <w:t xml:space="preserve">Figure 3 ALT TEXT:</w:t>
      </w:r>
      <w:r>
        <w:t xml:space="preserve"> </w:t>
      </w:r>
      <w:r>
        <w:t xml:space="preserve">Four-panel grouped bar chart showing median time in</w:t>
      </w:r>
      <w:r>
        <w:t xml:space="preserve"> </w:t>
      </w:r>
      <w:r>
        <w:t xml:space="preserve">seconds to flag comorbidities in the MIMIC-IV v3.1 dataset (N = 10 iterations).</w:t>
      </w:r>
      <w:r>
        <w:t xml:space="preserve"> </w:t>
      </w:r>
      <w:r>
        <w:t xml:space="preserve">Panels compare four utilities:</w:t>
      </w:r>
      <w:r>
        <w:t xml:space="preserve"> </w:t>
      </w:r>
      <w:r>
        <w:rPr>
          <w:i/>
          <w:iCs/>
        </w:rPr>
        <w:t xml:space="preserve">comorbidity</w:t>
      </w:r>
      <w:r>
        <w:t xml:space="preserve">,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, MIMIC-IV code, and</w:t>
      </w:r>
      <w:r>
        <w:t xml:space="preserve"> </w:t>
      </w:r>
      <w:r>
        <w:rPr>
          <w:i/>
          <w:iCs/>
        </w:rPr>
        <w:t xml:space="preserve">pccc</w:t>
      </w:r>
      <w:r>
        <w:t xml:space="preserve">. The x-axis lists comorbidity algorithms: Charlson, Elixhauser, PCCC</w:t>
      </w:r>
      <w:r>
        <w:t xml:space="preserve"> </w:t>
      </w:r>
      <w:r>
        <w:t xml:space="preserve">version 2.0, and PCCC version 3.1. The y-axis is time in seconds from 0 to about</w:t>
      </w:r>
      <w:r>
        <w:t xml:space="preserve"> </w:t>
      </w:r>
      <w:r>
        <w:t xml:space="preserve">75. Blue bars indicate cumulative flagging and maroon bars indicate current</w:t>
      </w:r>
      <w:r>
        <w:t xml:space="preserve"> </w:t>
      </w:r>
      <w:r>
        <w:t xml:space="preserve">flagging. Only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has cumulative bars as it is the only utility</w:t>
      </w:r>
      <w:r>
        <w:t xml:space="preserve"> </w:t>
      </w:r>
      <w:r>
        <w:t xml:space="preserve">natively supporting cumulative flagging.</w:t>
      </w:r>
      <w:r>
        <w:t xml:space="preserve"> </w:t>
      </w:r>
      <w:r>
        <w:rPr>
          <w:i/>
          <w:iCs/>
        </w:rPr>
        <w:t xml:space="preserve">medicalcoder</w:t>
      </w:r>
      <w:r>
        <w:t xml:space="preserve"> </w:t>
      </w:r>
      <w:r>
        <w:t xml:space="preserve">is the fastest in</w:t>
      </w:r>
      <w:r>
        <w:t xml:space="preserve"> </w:t>
      </w:r>
      <w:r>
        <w:t xml:space="preserve">every comparison shown, with times of about 0.7 to</w:t>
      </w:r>
      <w:r>
        <w:t xml:space="preserve"> </w:t>
      </w:r>
      <w:r>
        <w:t xml:space="preserve">3.5 seconds across all four algorithms and flag methods.</w:t>
      </w:r>
      <w:r>
        <w:t xml:space="preserve"> </w:t>
      </w:r>
      <w:r>
        <w:rPr>
          <w:i/>
          <w:iCs/>
        </w:rPr>
        <w:t xml:space="preserve">comorbidity</w:t>
      </w:r>
      <w:r>
        <w:t xml:space="preserve"> </w:t>
      </w:r>
      <w:r>
        <w:t xml:space="preserve">is slower, at about 16.8 seconds for Charlson,</w:t>
      </w:r>
      <w:r>
        <w:t xml:space="preserve"> </w:t>
      </w:r>
      <w:r>
        <w:t xml:space="preserve">27 seconds for Elixhauser. The MIMIC-IV code panel shows a</w:t>
      </w:r>
      <w:r>
        <w:t xml:space="preserve"> </w:t>
      </w:r>
      <w:r>
        <w:t xml:space="preserve">single Charlson result at about 30.8 seconds. The</w:t>
      </w:r>
      <w:r>
        <w:t xml:space="preserve"> </w:t>
      </w:r>
      <w:r>
        <w:rPr>
          <w:i/>
          <w:iCs/>
        </w:rPr>
        <w:t xml:space="preserve">pccc</w:t>
      </w:r>
      <w:r>
        <w:t xml:space="preserve"> </w:t>
      </w:r>
      <w:r>
        <w:t xml:space="preserve">panel</w:t>
      </w:r>
      <w:r>
        <w:t xml:space="preserve"> </w:t>
      </w:r>
      <w:r>
        <w:t xml:space="preserve">shows only PCCC version 2.0, with about 71.6 seconds for current</w:t>
      </w:r>
      <w:r>
        <w:t xml:space="preserve"> </w:t>
      </w:r>
      <w:r>
        <w:t xml:space="preserve">flagging. The times were recorded when building the supplement in</w:t>
      </w:r>
      <w:r>
        <w:t xml:space="preserve"> </w:t>
      </w:r>
      <w:r>
        <w:t xml:space="preserve">R version 4.6.1 (2026-06-24) on macOS Tahoe 26.5.2 with an Apple M5 Pro and</w:t>
      </w:r>
      <w:r>
        <w:t xml:space="preserve"> </w:t>
      </w:r>
      <w:r>
        <w:t xml:space="preserve">48.0 GB RAM.</w:t>
      </w:r>
    </w:p>
    <w:bookmarkEnd w:id="68"/>
    <w:sectPr w:rsidR="00A6194A" w:rsidRPr="003A1AFF">
      <w:footnotePr>
        <w:numFmt w:val="lowerLetter"/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77CE9EC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506093064" w:numId="1">
    <w:abstractNumId w:val="0"/>
  </w:num>
  <w:num w16cid:durableId="142661264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1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3D8"/>
    <w:rsid w:val="00186CE5"/>
    <w:rsid w:val="001C1EDF"/>
    <w:rsid w:val="001C7C71"/>
    <w:rsid w:val="001E057D"/>
    <w:rsid w:val="003A1AFF"/>
    <w:rsid w:val="003B4E24"/>
    <w:rsid w:val="004D02F2"/>
    <w:rsid w:val="00744B3D"/>
    <w:rsid w:val="007548E3"/>
    <w:rsid w:val="007723D8"/>
    <w:rsid w:val="008A7161"/>
    <w:rsid w:val="00927A08"/>
    <w:rsid w:val="00A46FFD"/>
    <w:rsid w:val="00A6194A"/>
    <w:rsid w:val="00DB136A"/>
    <w:rsid w:val="00E04AC5"/>
    <w:rsid w:val="00F95EE7"/>
    <w:rsid w:val="00FF7B9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548E3"/>
    <w:pPr>
      <w:spacing w:after="180" w:before="18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tablecap" w:type="paragraph">
    <w:name w:val="tablecap"/>
    <w:basedOn w:val="BodyText"/>
    <w:qFormat/>
    <w:rsid w:val="00FF7B91"/>
    <w:pPr>
      <w:spacing w:line="240" w:lineRule="auto"/>
    </w:pPr>
    <w:rPr>
      <w:i/>
      <w:sz w:val="18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sid w:val="00DB136A"/>
    <w:rPr>
      <w:rFonts w:ascii="Consolas" w:hAnsi="Consolas"/>
      <w:color w:val="5E5E5E"/>
      <w:sz w:val="20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CRAN.R-project.org/package=icd" TargetMode="External" /><Relationship Type="http://schemas.openxmlformats.org/officeDocument/2006/relationships/hyperlink" Id="rId21" Target="https://doi.org/10.1001/jamanetworkopen.2024.20579" TargetMode="External" /><Relationship Type="http://schemas.openxmlformats.org/officeDocument/2006/relationships/hyperlink" Id="rId51" Target="https://doi.org/10.1001/jamapediatrics.2018.0256" TargetMode="External" /><Relationship Type="http://schemas.openxmlformats.org/officeDocument/2006/relationships/hyperlink" Id="rId19" Target="https://doi.org/10.1093/aje/kwq433" TargetMode="External" /><Relationship Type="http://schemas.openxmlformats.org/officeDocument/2006/relationships/hyperlink" Id="rId59" Target="https://doi.org/10.1097/00005650-199801000-00004" TargetMode="External" /><Relationship Type="http://schemas.openxmlformats.org/officeDocument/2006/relationships/hyperlink" Id="rId17" Target="https://doi.org/10.1097/01.mlr.0000182534.19832.83" TargetMode="External" /><Relationship Type="http://schemas.openxmlformats.org/officeDocument/2006/relationships/hyperlink" Id="rId64" Target="https://doi.org/10.1161/01.cir.101.23.e215" TargetMode="External" /><Relationship Type="http://schemas.openxmlformats.org/officeDocument/2006/relationships/hyperlink" Id="rId23" Target="https://doi.org/10.1186/1471-2431-14-199" TargetMode="External" /><Relationship Type="http://schemas.openxmlformats.org/officeDocument/2006/relationships/hyperlink" Id="rId61" Target="https://doi.org/10.13026/kpb9-mt58" TargetMode="External" /><Relationship Type="http://schemas.openxmlformats.org/officeDocument/2006/relationships/hyperlink" Id="rId36" Target="https://doi.org/10.21105/joss.00648" TargetMode="External" /><Relationship Type="http://schemas.openxmlformats.org/officeDocument/2006/relationships/hyperlink" Id="rId29" Target="https://doi.org/10.2147/CLEP.S282475" TargetMode="External" /><Relationship Type="http://schemas.openxmlformats.org/officeDocument/2006/relationships/hyperlink" Id="rId31" Target="https://doi.org/10.2147/clep.s425901" TargetMode="External" /><Relationship Type="http://schemas.openxmlformats.org/officeDocument/2006/relationships/hyperlink" Id="rId41" Target="https://doi.org/10.32614/CRAN.package.icdcomorbid" TargetMode="External" /><Relationship Type="http://schemas.openxmlformats.org/officeDocument/2006/relationships/hyperlink" Id="rId43" Target="https://doi.org/10.32614/CRAN.package.multimorbidity" TargetMode="External" /><Relationship Type="http://schemas.openxmlformats.org/officeDocument/2006/relationships/hyperlink" Id="rId54" Target="https://doi.org/10.5281/zenodo.6818823" TargetMode="External" /><Relationship Type="http://schemas.openxmlformats.org/officeDocument/2006/relationships/hyperlink" Id="rId38" Target="https://github.com/CUD2V/pccc" TargetMode="External" /><Relationship Type="http://schemas.openxmlformats.org/officeDocument/2006/relationships/hyperlink" Id="rId25" Target="https://hcup-us.ahrq.gov/toolssoftware/comorbidityicd10/comorbidity_icd10.jsp" TargetMode="External" /><Relationship Type="http://schemas.openxmlformats.org/officeDocument/2006/relationships/hyperlink" Id="rId27" Target="https://pubmed.ncbi.nlm.nih.gov/31428236/" TargetMode="External" /><Relationship Type="http://schemas.openxmlformats.org/officeDocument/2006/relationships/hyperlink" Id="rId9" Target="mailto:peter.dewitt@cuanschutz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medicalcoder: A Unified and Longitudinally Aware Framework for ICD-Based Comorbidity Assessment in R</dc:title>
  <dc:creator/>
  <cp:keywords/>
  <dcterms:created xsi:type="dcterms:W3CDTF">2026-07-17T20:57:22Z</dcterms:created>
  <dcterms:modified xsi:type="dcterms:W3CDTF">2026-07-17T20:57:22Z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sl">
    <vt:lpwstr>jamia.csl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