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5093C" w14:textId="610E908F" w:rsidR="00B272DD" w:rsidRPr="00270201" w:rsidRDefault="00000000" w:rsidP="00270201">
      <w:pPr>
        <w:pStyle w:val="NormalWeb"/>
        <w:rPr>
          <w:rFonts w:ascii="Garamond" w:hAnsi="Garamond"/>
          <w:sz w:val="22"/>
          <w:szCs w:val="22"/>
        </w:rPr>
      </w:pPr>
      <w:r w:rsidRPr="00270201">
        <w:rPr>
          <w:rFonts w:ascii="Garamond" w:hAnsi="Garamond"/>
          <w:sz w:val="22"/>
          <w:szCs w:val="22"/>
        </w:rPr>
        <w:t>Neil Sarkar, PhD, MLIS, FACMI</w:t>
      </w:r>
      <w:r w:rsidR="009A2F7C" w:rsidRPr="00270201">
        <w:rPr>
          <w:rFonts w:ascii="Garamond" w:hAnsi="Garamond"/>
          <w:sz w:val="22"/>
          <w:szCs w:val="22"/>
        </w:rPr>
        <w:br/>
      </w:r>
      <w:r w:rsidRPr="00270201">
        <w:rPr>
          <w:rFonts w:ascii="Garamond" w:hAnsi="Garamond"/>
          <w:sz w:val="22"/>
          <w:szCs w:val="22"/>
        </w:rPr>
        <w:t>Brown Center for Biomedical Informatics</w:t>
      </w:r>
      <w:r w:rsidR="009A2F7C" w:rsidRPr="00270201">
        <w:rPr>
          <w:rFonts w:ascii="Garamond" w:hAnsi="Garamond"/>
          <w:sz w:val="22"/>
          <w:szCs w:val="22"/>
        </w:rPr>
        <w:br/>
      </w:r>
      <w:r w:rsidRPr="00270201">
        <w:rPr>
          <w:rFonts w:ascii="Garamond" w:hAnsi="Garamond"/>
          <w:sz w:val="22"/>
          <w:szCs w:val="22"/>
        </w:rPr>
        <w:t>Brown University</w:t>
      </w:r>
      <w:r w:rsidR="009A2F7C" w:rsidRPr="00270201">
        <w:rPr>
          <w:rFonts w:ascii="Garamond" w:hAnsi="Garamond"/>
          <w:sz w:val="22"/>
          <w:szCs w:val="22"/>
        </w:rPr>
        <w:br/>
      </w:r>
      <w:r w:rsidRPr="00270201">
        <w:rPr>
          <w:rFonts w:ascii="Garamond" w:hAnsi="Garamond"/>
          <w:sz w:val="22"/>
          <w:szCs w:val="22"/>
        </w:rPr>
        <w:t>Providence, Rhode Island, USA</w:t>
      </w:r>
    </w:p>
    <w:p w14:paraId="76E158C3" w14:textId="3E171A0A" w:rsidR="009A2F7C" w:rsidRPr="00270201" w:rsidRDefault="009A2F7C" w:rsidP="00270201">
      <w:pPr>
        <w:pStyle w:val="NormalWeb"/>
        <w:rPr>
          <w:rFonts w:ascii="Garamond" w:hAnsi="Garamond"/>
          <w:sz w:val="22"/>
          <w:szCs w:val="22"/>
        </w:rPr>
      </w:pPr>
      <w:r w:rsidRPr="00270201">
        <w:rPr>
          <w:rFonts w:ascii="Garamond" w:hAnsi="Garamond"/>
          <w:sz w:val="22"/>
          <w:szCs w:val="22"/>
        </w:rPr>
        <w:t>14 March 2026</w:t>
      </w:r>
    </w:p>
    <w:p w14:paraId="23CAAC2F"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Dear Dr. Sarkar,</w:t>
      </w:r>
    </w:p>
    <w:p w14:paraId="313C3CF3"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We are excited to submit an original application note entitled “medicalcoder: A Unified and Longitudinally Aware Framework for ICD-Based Comorbidity Assessment in R” for consideration by JAMIA Open.</w:t>
      </w:r>
    </w:p>
    <w:p w14:paraId="21CBC846"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In this application note we present the </w:t>
      </w:r>
      <w:proofErr w:type="spellStart"/>
      <w:r w:rsidRPr="00270201">
        <w:rPr>
          <w:rStyle w:val="Strong"/>
          <w:rFonts w:ascii="Garamond" w:hAnsi="Garamond"/>
          <w:b w:val="0"/>
          <w:bCs w:val="0"/>
          <w:i/>
          <w:iCs/>
          <w:sz w:val="22"/>
          <w:szCs w:val="22"/>
        </w:rPr>
        <w:t>medicalcoder</w:t>
      </w:r>
      <w:proofErr w:type="spellEnd"/>
      <w:r w:rsidRPr="00270201">
        <w:rPr>
          <w:rFonts w:ascii="Garamond" w:hAnsi="Garamond"/>
          <w:sz w:val="22"/>
          <w:szCs w:val="22"/>
        </w:rPr>
        <w:t xml:space="preserve"> R package. Depending only on R ≥ 3.5.0 and importing no additional namespaces,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is a fully self-contained package that requires no internet access or supplemental datasets. The package includes a comprehensive internal database of ICD-9 and ICD-10 codes sourced from CDC, CMS, and WHO releases. Through a single function call, </w:t>
      </w:r>
      <w:proofErr w:type="spellStart"/>
      <w:proofErr w:type="gramStart"/>
      <w:r w:rsidRPr="00270201">
        <w:rPr>
          <w:rStyle w:val="HTMLCode"/>
          <w:rFonts w:ascii="Consolas" w:eastAsiaTheme="majorEastAsia" w:hAnsi="Consolas" w:cs="Consolas"/>
        </w:rPr>
        <w:t>medicalcoder</w:t>
      </w:r>
      <w:proofErr w:type="spellEnd"/>
      <w:r w:rsidRPr="00270201">
        <w:rPr>
          <w:rStyle w:val="HTMLCode"/>
          <w:rFonts w:ascii="Consolas" w:eastAsiaTheme="majorEastAsia" w:hAnsi="Consolas" w:cs="Consolas"/>
        </w:rPr>
        <w:t>::comorbidities(</w:t>
      </w:r>
      <w:proofErr w:type="gramEnd"/>
      <w:r w:rsidRPr="00270201">
        <w:rPr>
          <w:rStyle w:val="HTMLCode"/>
          <w:rFonts w:ascii="Consolas" w:eastAsiaTheme="majorEastAsia" w:hAnsi="Consolas" w:cs="Consolas"/>
        </w:rPr>
        <w:t>)</w:t>
      </w:r>
      <w:r w:rsidRPr="00270201">
        <w:rPr>
          <w:rFonts w:ascii="Garamond" w:hAnsi="Garamond"/>
          <w:sz w:val="22"/>
          <w:szCs w:val="22"/>
        </w:rPr>
        <w:t xml:space="preserve">, users can apply any of 17 variants of the Charlson, </w:t>
      </w:r>
      <w:proofErr w:type="spellStart"/>
      <w:r w:rsidRPr="00270201">
        <w:rPr>
          <w:rFonts w:ascii="Garamond" w:hAnsi="Garamond"/>
          <w:sz w:val="22"/>
          <w:szCs w:val="22"/>
        </w:rPr>
        <w:t>Elixhauser</w:t>
      </w:r>
      <w:proofErr w:type="spellEnd"/>
      <w:r w:rsidRPr="00270201">
        <w:rPr>
          <w:rFonts w:ascii="Garamond" w:hAnsi="Garamond"/>
          <w:sz w:val="22"/>
          <w:szCs w:val="22"/>
        </w:rPr>
        <w:t>, and Pediatric Complex Chronic Conditions comorbidity algorithms.</w:t>
      </w:r>
    </w:p>
    <w:p w14:paraId="21CEEF16"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A key contribution of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is its ability to account for longitudinal patient histories. Chronic conditions such as cancer or diabetes are therefore flagged not only at the encounter where they are coded but across subsequent encounters in a patient’s record, improving the sensitivity of comorbidity identification compared with encounter-level approaches.</w:t>
      </w:r>
    </w:p>
    <w:p w14:paraId="1AB6E7AD" w14:textId="77777777" w:rsidR="00270201" w:rsidRPr="00270201" w:rsidRDefault="00270201" w:rsidP="00270201">
      <w:pPr>
        <w:pStyle w:val="NormalWeb"/>
        <w:rPr>
          <w:rFonts w:ascii="Garamond" w:hAnsi="Garamond"/>
          <w:sz w:val="22"/>
          <w:szCs w:val="22"/>
        </w:rPr>
      </w:pPr>
      <w:r w:rsidRPr="00270201">
        <w:rPr>
          <w:rFonts w:ascii="Garamond" w:hAnsi="Garamond"/>
          <w:sz w:val="22"/>
          <w:szCs w:val="22"/>
        </w:rPr>
        <w:t xml:space="preserve">Reliable comorbidity assessment is essential for risk adjustment, cohort construction, and reproducible clinical research using electronic health record and administrative data. By providing a unified interface, internal code database, and longitudinal flagging framework in a fully portable implementation, </w:t>
      </w:r>
      <w:proofErr w:type="spellStart"/>
      <w:r w:rsidRPr="00270201">
        <w:rPr>
          <w:rStyle w:val="Emphasis"/>
          <w:rFonts w:ascii="Garamond" w:hAnsi="Garamond"/>
          <w:sz w:val="22"/>
          <w:szCs w:val="22"/>
        </w:rPr>
        <w:t>medicalcoder</w:t>
      </w:r>
      <w:proofErr w:type="spellEnd"/>
      <w:r w:rsidRPr="00270201">
        <w:rPr>
          <w:rFonts w:ascii="Garamond" w:hAnsi="Garamond"/>
          <w:sz w:val="22"/>
          <w:szCs w:val="22"/>
        </w:rPr>
        <w:t xml:space="preserve"> aims to make these widely used algorithms easier to apply consistently across diverse clinical data environments.</w:t>
      </w:r>
    </w:p>
    <w:p w14:paraId="21D98EEB"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We confirm that this work is original, has not been previously published elsewhere, and is not under consideration by another publication. We will not submit the material for consideration by another journal until the completion of the editorial decision process at JAMIA Open. We have no conflicts of interest to disclose.</w:t>
      </w:r>
    </w:p>
    <w:p w14:paraId="324CA27E"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Please address all correspondence concerning this application note to me at peter.dewitt@cuanschutz.edu.</w:t>
      </w:r>
    </w:p>
    <w:p w14:paraId="41027C70"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Thank you for your consideration of this application note.</w:t>
      </w:r>
    </w:p>
    <w:p w14:paraId="176CA52A" w14:textId="77777777" w:rsidR="00B272DD" w:rsidRPr="00270201" w:rsidRDefault="00000000" w:rsidP="00270201">
      <w:pPr>
        <w:pStyle w:val="NormalWeb"/>
        <w:rPr>
          <w:rFonts w:ascii="Garamond" w:hAnsi="Garamond"/>
          <w:sz w:val="22"/>
          <w:szCs w:val="22"/>
        </w:rPr>
      </w:pPr>
      <w:r w:rsidRPr="00270201">
        <w:rPr>
          <w:rFonts w:ascii="Garamond" w:hAnsi="Garamond"/>
          <w:sz w:val="22"/>
          <w:szCs w:val="22"/>
        </w:rPr>
        <w:t>Sincerely,</w:t>
      </w:r>
    </w:p>
    <w:p w14:paraId="063AFA67" w14:textId="77777777" w:rsidR="00001D7C" w:rsidRPr="00270201" w:rsidRDefault="00001D7C" w:rsidP="00270201">
      <w:pPr>
        <w:pStyle w:val="NormalWeb"/>
        <w:rPr>
          <w:rFonts w:ascii="Garamond" w:hAnsi="Garamond"/>
          <w:sz w:val="22"/>
          <w:szCs w:val="22"/>
        </w:rPr>
      </w:pPr>
    </w:p>
    <w:p w14:paraId="44A7F2E4" w14:textId="607008DB" w:rsidR="00B272DD" w:rsidRPr="00270201" w:rsidRDefault="00000000" w:rsidP="00270201">
      <w:pPr>
        <w:pStyle w:val="NormalWeb"/>
        <w:rPr>
          <w:rFonts w:ascii="Garamond" w:hAnsi="Garamond"/>
          <w:sz w:val="22"/>
          <w:szCs w:val="22"/>
        </w:rPr>
      </w:pPr>
      <w:r w:rsidRPr="00270201">
        <w:rPr>
          <w:rFonts w:ascii="Garamond" w:hAnsi="Garamond"/>
          <w:sz w:val="22"/>
          <w:szCs w:val="22"/>
        </w:rPr>
        <w:t>Peter E. DeWitt, PhD</w:t>
      </w:r>
      <w:r w:rsidR="00001D7C" w:rsidRPr="00270201">
        <w:rPr>
          <w:rFonts w:ascii="Garamond" w:hAnsi="Garamond"/>
          <w:sz w:val="22"/>
          <w:szCs w:val="22"/>
        </w:rPr>
        <w:br/>
      </w:r>
      <w:r w:rsidRPr="00270201">
        <w:rPr>
          <w:rFonts w:ascii="Garamond" w:hAnsi="Garamond"/>
          <w:sz w:val="22"/>
          <w:szCs w:val="22"/>
        </w:rPr>
        <w:t>Assistant Research Professor</w:t>
      </w:r>
      <w:r w:rsidR="00001D7C" w:rsidRPr="00270201">
        <w:rPr>
          <w:rFonts w:ascii="Garamond" w:hAnsi="Garamond"/>
          <w:sz w:val="22"/>
          <w:szCs w:val="22"/>
        </w:rPr>
        <w:br/>
      </w:r>
      <w:r w:rsidRPr="00270201">
        <w:rPr>
          <w:rFonts w:ascii="Garamond" w:hAnsi="Garamond"/>
          <w:sz w:val="22"/>
          <w:szCs w:val="22"/>
        </w:rPr>
        <w:t>peter.dewitt@cuanschutz.edu</w:t>
      </w:r>
    </w:p>
    <w:p w14:paraId="68159397" w14:textId="77777777" w:rsidR="00001D7C" w:rsidRPr="00270201" w:rsidRDefault="00001D7C" w:rsidP="00270201">
      <w:pPr>
        <w:pStyle w:val="NormalWeb"/>
        <w:rPr>
          <w:rFonts w:ascii="Garamond" w:hAnsi="Garamond"/>
          <w:sz w:val="22"/>
          <w:szCs w:val="22"/>
        </w:rPr>
      </w:pPr>
      <w:r w:rsidRPr="00270201">
        <w:rPr>
          <w:rFonts w:ascii="Garamond" w:hAnsi="Garamond"/>
          <w:sz w:val="22"/>
          <w:szCs w:val="22"/>
        </w:rPr>
        <w:t xml:space="preserve">On behalf of co-authors: </w:t>
      </w:r>
    </w:p>
    <w:p w14:paraId="58855A29" w14:textId="175662B6" w:rsidR="00B272DD" w:rsidRPr="00270201" w:rsidRDefault="00000000" w:rsidP="00270201">
      <w:pPr>
        <w:pStyle w:val="NormalWeb"/>
        <w:rPr>
          <w:rFonts w:ascii="Garamond" w:hAnsi="Garamond"/>
          <w:sz w:val="22"/>
          <w:szCs w:val="22"/>
        </w:rPr>
      </w:pPr>
      <w:r w:rsidRPr="00270201">
        <w:rPr>
          <w:rFonts w:ascii="Garamond" w:hAnsi="Garamond"/>
          <w:sz w:val="22"/>
          <w:szCs w:val="22"/>
        </w:rPr>
        <w:t>Seth Russell, MS</w:t>
      </w:r>
      <w:r w:rsidR="00001D7C" w:rsidRPr="00270201">
        <w:rPr>
          <w:rFonts w:ascii="Garamond" w:hAnsi="Garamond"/>
          <w:sz w:val="22"/>
          <w:szCs w:val="22"/>
        </w:rPr>
        <w:t xml:space="preserve">; </w:t>
      </w:r>
      <w:r w:rsidRPr="00270201">
        <w:rPr>
          <w:rFonts w:ascii="Garamond" w:hAnsi="Garamond"/>
          <w:sz w:val="22"/>
          <w:szCs w:val="22"/>
        </w:rPr>
        <w:t xml:space="preserve">Margaret N. </w:t>
      </w:r>
      <w:proofErr w:type="spellStart"/>
      <w:r w:rsidRPr="00270201">
        <w:rPr>
          <w:rFonts w:ascii="Garamond" w:hAnsi="Garamond"/>
          <w:sz w:val="22"/>
          <w:szCs w:val="22"/>
        </w:rPr>
        <w:t>Rebull</w:t>
      </w:r>
      <w:proofErr w:type="spellEnd"/>
      <w:r w:rsidRPr="00270201">
        <w:rPr>
          <w:rFonts w:ascii="Garamond" w:hAnsi="Garamond"/>
          <w:sz w:val="22"/>
          <w:szCs w:val="22"/>
        </w:rPr>
        <w:t>, MA</w:t>
      </w:r>
      <w:r w:rsidR="00001D7C" w:rsidRPr="00270201">
        <w:rPr>
          <w:rFonts w:ascii="Garamond" w:hAnsi="Garamond"/>
          <w:sz w:val="22"/>
          <w:szCs w:val="22"/>
        </w:rPr>
        <w:t xml:space="preserve">; and </w:t>
      </w:r>
      <w:r w:rsidRPr="00270201">
        <w:rPr>
          <w:rFonts w:ascii="Garamond" w:hAnsi="Garamond"/>
          <w:sz w:val="22"/>
          <w:szCs w:val="22"/>
        </w:rPr>
        <w:t>Tellen D. Bennett, MD, MS</w:t>
      </w:r>
    </w:p>
    <w:sectPr w:rsidR="00B272DD" w:rsidRPr="0027020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86B2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58355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272DD"/>
    <w:rsid w:val="00001D7C"/>
    <w:rsid w:val="00270201"/>
    <w:rsid w:val="009A2F7C"/>
    <w:rsid w:val="00B272DD"/>
    <w:rsid w:val="00BA44DA"/>
    <w:rsid w:val="00D26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4CFE56"/>
  <w15:docId w15:val="{A6C7F210-625B-D74C-84C3-2258BD508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NormalWeb">
    <w:name w:val="Normal (Web)"/>
    <w:basedOn w:val="Normal"/>
    <w:uiPriority w:val="99"/>
    <w:unhideWhenUsed/>
    <w:rsid w:val="00270201"/>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270201"/>
    <w:rPr>
      <w:b/>
      <w:bCs/>
    </w:rPr>
  </w:style>
  <w:style w:type="character" w:styleId="Emphasis">
    <w:name w:val="Emphasis"/>
    <w:basedOn w:val="DefaultParagraphFont"/>
    <w:uiPriority w:val="20"/>
    <w:qFormat/>
    <w:rsid w:val="00270201"/>
    <w:rPr>
      <w:i/>
      <w:iCs/>
    </w:rPr>
  </w:style>
  <w:style w:type="character" w:styleId="HTMLCode">
    <w:name w:val="HTML Code"/>
    <w:basedOn w:val="DefaultParagraphFont"/>
    <w:uiPriority w:val="99"/>
    <w:unhideWhenUsed/>
    <w:rsid w:val="002702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302</Words>
  <Characters>2074</Characters>
  <Application>Microsoft Office Word</Application>
  <DocSecurity>0</DocSecurity>
  <Lines>40</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DeWitt, Peter</cp:lastModifiedBy>
  <cp:revision>2</cp:revision>
  <dcterms:created xsi:type="dcterms:W3CDTF">2026-03-14T16:18:00Z</dcterms:created>
  <dcterms:modified xsi:type="dcterms:W3CDTF">2026-03-15T01:47:00Z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