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medicalcoder: A Unified and Longitudinally Aware Framework for ICD-Based Comorbidity Assessment in R</w:t>
      </w:r>
    </w:p>
    <w:p>
      <w:pPr>
        <w:pStyle w:val="FirstParagraph"/>
      </w:pPr>
      <w:r>
        <w:rPr>
          <w:b/>
          <w:bCs/>
        </w:rPr>
        <w:t xml:space="preserve">Authors</w:t>
      </w:r>
      <w:r>
        <w:t xml:space="preserve">: Peter E. DeWitt</w:t>
      </w:r>
      <w:r>
        <w:rPr>
          <w:vertAlign w:val="superscript"/>
        </w:rPr>
        <w:t xml:space="preserve">1</w:t>
      </w:r>
      <w:r>
        <w:t xml:space="preserve">, PhD; Seth Russell</w:t>
      </w:r>
      <w:r>
        <w:rPr>
          <w:vertAlign w:val="superscript"/>
        </w:rPr>
        <w:t xml:space="preserve">1</w:t>
      </w:r>
      <w:r>
        <w:t xml:space="preserve">, MS; James A. Feinstein, MD, MPH</w:t>
      </w:r>
      <w:r>
        <w:rPr>
          <w:vertAlign w:val="superscript"/>
        </w:rPr>
        <w:t xml:space="preserve">2,3,4</w:t>
      </w:r>
      <w:r>
        <w:t xml:space="preserve">; Margaret N. Rebull</w:t>
      </w:r>
      <w:r>
        <w:rPr>
          <w:vertAlign w:val="superscript"/>
        </w:rPr>
        <w:t xml:space="preserve">1</w:t>
      </w:r>
      <w:r>
        <w:t xml:space="preserve">, MA; Tellen D. Bennett</w:t>
      </w:r>
      <w:r>
        <w:rPr>
          <w:vertAlign w:val="superscript"/>
        </w:rPr>
        <w:t xml:space="preserve">1,5</w:t>
      </w:r>
      <w:r>
        <w:t xml:space="preserve">, MD, MS</w:t>
      </w:r>
    </w:p>
    <w:p>
      <w:pPr>
        <w:pStyle w:val="BodyText"/>
      </w:pPr>
      <w:r>
        <w:rPr>
          <w:u w:val="single"/>
        </w:rPr>
        <w:t xml:space="preserve">Author affiliations: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Department of Biomedical Informatics, University of Colorado School of Medicine, University of Colorado Anschutz Medical Campus, Aurora, Colorado, USA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Adult and Child Center for Outcomes Research and Delivery Science, University of Colorado Anschutz Medical Campus, Aurora.</w:t>
      </w:r>
      <w:r>
        <w:br/>
      </w:r>
      <w:r>
        <w:rPr>
          <w:vertAlign w:val="superscript"/>
        </w:rPr>
        <w:t xml:space="preserve">3</w:t>
      </w:r>
      <w:r>
        <w:t xml:space="preserve"> </w:t>
      </w:r>
      <w:r>
        <w:t xml:space="preserve">Children’s Hospital Colorado, Aurora.</w:t>
      </w:r>
      <w:r>
        <w:br/>
      </w:r>
      <w:r>
        <w:rPr>
          <w:vertAlign w:val="superscript"/>
        </w:rPr>
        <w:t xml:space="preserve">4</w:t>
      </w:r>
      <w:r>
        <w:t xml:space="preserve"> </w:t>
      </w:r>
      <w:r>
        <w:t xml:space="preserve">Department of Pediatrics, University of Colorado Anschutz Medical Campus, Aurora.</w:t>
      </w:r>
      <w:r>
        <w:br/>
      </w:r>
      <w:r>
        <w:rPr>
          <w:vertAlign w:val="superscript"/>
        </w:rPr>
        <w:t xml:space="preserve">5</w:t>
      </w:r>
      <w:r>
        <w:t xml:space="preserve"> </w:t>
      </w:r>
      <w:r>
        <w:t xml:space="preserve">Section of Critical Care Medicine, Department of Pediatrics, University of Colorado School of Medicine, University of Colorado Anschutz Medical Campus, Aurora, Colorado, USA</w:t>
      </w:r>
    </w:p>
    <w:p>
      <w:pPr>
        <w:pStyle w:val="BodyText"/>
      </w:pPr>
      <w:r>
        <w:rPr>
          <w:b/>
          <w:bCs/>
          <w:u w:val="single"/>
        </w:rPr>
        <w:t xml:space="preserve">Correspondence:</w:t>
      </w:r>
    </w:p>
    <w:p>
      <w:pPr>
        <w:pStyle w:val="BodyText"/>
      </w:pPr>
      <w:r>
        <w:t xml:space="preserve">Peter E. DeWitt, PhD</w:t>
      </w:r>
      <w:r>
        <w:br/>
      </w:r>
      <w:r>
        <w:t xml:space="preserve">Department of Biomedical Informatics</w:t>
      </w:r>
      <w:r>
        <w:br/>
      </w:r>
      <w:r>
        <w:t xml:space="preserve">University of Colorado School of Medicine</w:t>
      </w:r>
      <w:r>
        <w:br/>
      </w:r>
      <w:r>
        <w:t xml:space="preserve">1890 N. Revere Court</w:t>
      </w:r>
      <w:r>
        <w:br/>
      </w:r>
      <w:r>
        <w:t xml:space="preserve">Mailstop F600</w:t>
      </w:r>
      <w:r>
        <w:br/>
      </w:r>
      <w:r>
        <w:t xml:space="preserve">Aurora, Colorado, 80045</w:t>
      </w:r>
    </w:p>
    <w:p>
      <w:pPr>
        <w:pStyle w:val="BodyText"/>
      </w:pP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peter.dewitt@cuanschutz.edu</w:t>
        </w:r>
      </w:hyperlink>
    </w:p>
    <w:p>
      <w:pPr>
        <w:pStyle w:val="BodyText"/>
      </w:pPr>
      <w:r>
        <w:rPr>
          <w:b/>
          <w:bCs/>
          <w:u w:val="single"/>
        </w:rPr>
        <w:t xml:space="preserve">Article type:</w:t>
      </w:r>
      <w:r>
        <w:t xml:space="preserve"> </w:t>
      </w:r>
      <w:r>
        <w:t xml:space="preserve">Application Note</w:t>
      </w:r>
    </w:p>
    <w:p>
      <w:pPr>
        <w:pStyle w:val="BodyText"/>
      </w:pPr>
      <w:r>
        <w:rPr>
          <w:b/>
          <w:bCs/>
          <w:u w:val="single"/>
        </w:rPr>
        <w:t xml:space="preserve">Word count:</w:t>
      </w:r>
      <w:r>
        <w:t xml:space="preserve"> </w:t>
      </w:r>
      <w:r>
        <w:t xml:space="preserve">1983 / 2000 (excluding tables)</w:t>
      </w:r>
    </w:p>
    <w:p>
      <w:pPr>
        <w:pStyle w:val="BodyText"/>
      </w:pPr>
      <w:r>
        <w:rPr>
          <w:b/>
          <w:bCs/>
          <w:u w:val="single"/>
        </w:rPr>
        <w:t xml:space="preserve">Tables:</w:t>
      </w:r>
      <w:r>
        <w:t xml:space="preserve"> </w:t>
      </w:r>
      <w:r>
        <w:t xml:space="preserve">2 / 2</w:t>
      </w:r>
    </w:p>
    <w:p>
      <w:pPr>
        <w:pStyle w:val="BodyText"/>
      </w:pPr>
      <w:r>
        <w:rPr>
          <w:b/>
          <w:bCs/>
          <w:u w:val="single"/>
        </w:rPr>
        <w:t xml:space="preserve">Figures:</w:t>
      </w:r>
      <w:r>
        <w:t xml:space="preserve"> </w:t>
      </w:r>
      <w:r>
        <w:t xml:space="preserve">2 / 3</w:t>
      </w:r>
    </w:p>
    <w:p>
      <w:pPr>
        <w:pStyle w:val="BodyText"/>
      </w:pPr>
      <w:r>
        <w:rPr>
          <w:b/>
          <w:bCs/>
          <w:u w:val="single"/>
        </w:rPr>
        <w:t xml:space="preserve">Supplementary material:</w:t>
      </w:r>
    </w:p>
    <w:p>
      <w:pPr>
        <w:pStyle w:val="BodyText"/>
      </w:pPr>
      <w:r>
        <w:rPr>
          <w:b/>
          <w:bCs/>
          <w:u w:val="single"/>
        </w:rPr>
        <w:t xml:space="preserve">Short running title</w:t>
      </w:r>
      <w:r>
        <w:t xml:space="preserve">: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: R package for ICD codes and Comorbidities with longitudinal data</w:t>
      </w:r>
    </w:p>
    <w:p>
      <w:pPr>
        <w:pStyle w:val="BodyText"/>
      </w:pPr>
      <w:r>
        <w:rPr>
          <w:b/>
          <w:bCs/>
          <w:u w:val="single"/>
        </w:rPr>
        <w:t xml:space="preserve">Keywords:</w:t>
      </w:r>
      <w:r>
        <w:t xml:space="preserve"> </w:t>
      </w:r>
      <w:r>
        <w:t xml:space="preserve">Comorbidity, International Classification of</w:t>
      </w:r>
      <w:r>
        <w:t xml:space="preserve"> </w:t>
      </w:r>
      <w:r>
        <w:t xml:space="preserve">Diseases (ICD), Software, Longitudinal Studies, Pediatrics</w:t>
      </w:r>
    </w:p>
    <w:p>
      <w:r>
        <w:br w:type="page"/>
      </w:r>
    </w:p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Word count: 150 / 150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Comorbidity algorithms derived from ICD codes are central to risk adjustment and</w:t>
      </w:r>
      <w:r>
        <w:t xml:space="preserve"> </w:t>
      </w:r>
      <w:r>
        <w:t xml:space="preserve">cohort characterization. However, existing software is fragmented, inconsistently</w:t>
      </w:r>
      <w:r>
        <w:t xml:space="preserve"> </w:t>
      </w:r>
      <w:r>
        <w:t xml:space="preserve">handles mixed ICD-9/10 data, and typically operates at the encounter level. We</w:t>
      </w:r>
      <w:r>
        <w:t xml:space="preserve"> </w:t>
      </w:r>
      <w:r>
        <w:t xml:space="preserve">developed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to address these limitations.</w:t>
      </w:r>
    </w:p>
    <w:p>
      <w:pPr>
        <w:pStyle w:val="BodyText"/>
      </w:pPr>
      <w:r>
        <w:rPr>
          <w:b/>
          <w:bCs/>
        </w:rPr>
        <w:t xml:space="preserve">Materials and Methods: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is a R package with an internal ICD database and unified</w:t>
      </w:r>
      <w:r>
        <w:t xml:space="preserve"> </w:t>
      </w:r>
      <w:r>
        <w:t xml:space="preserve">interface for applying multiple variants of the Charlson, Elixhauser, and</w:t>
      </w:r>
      <w:r>
        <w:t xml:space="preserve"> </w:t>
      </w:r>
      <w:r>
        <w:t xml:space="preserve">Pediatric Complex Chronic Conditions algorithms. It supports full and compact</w:t>
      </w:r>
      <w:r>
        <w:t xml:space="preserve"> </w:t>
      </w:r>
      <w:r>
        <w:t xml:space="preserve">ICD codes, mixed ICD versions, present-on-admission and primary diagnosis</w:t>
      </w:r>
      <w:r>
        <w:t xml:space="preserve"> </w:t>
      </w:r>
      <w:r>
        <w:t xml:space="preserve">indicators, and both encounter-level and cumulative longitudinal flagging.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package requires only R ≥ 3.5.0. No additional packages,</w:t>
      </w:r>
      <w:r>
        <w:t xml:space="preserve"> </w:t>
      </w:r>
      <w:r>
        <w:t xml:space="preserve">internet access, or external data downloads are required. Outputs are consistent</w:t>
      </w:r>
      <w:r>
        <w:t xml:space="preserve"> </w:t>
      </w:r>
      <w:r>
        <w:t xml:space="preserve">with published reference implementations. Longitudinal flagging captured comorbidities not</w:t>
      </w:r>
      <w:r>
        <w:t xml:space="preserve"> </w:t>
      </w:r>
      <w:r>
        <w:t xml:space="preserve">identified through naïve encounter-level aggregation for algorithms</w:t>
      </w:r>
      <w:r>
        <w:t xml:space="preserve"> </w:t>
      </w:r>
      <w:r>
        <w:t xml:space="preserve">incorporating present-on-admission or technology-dependent logic.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provides a unified, reproducible framework for ICD-based</w:t>
      </w:r>
      <w:r>
        <w:t xml:space="preserve"> </w:t>
      </w:r>
      <w:r>
        <w:t xml:space="preserve">comorbidity assessment in modern clinical datasets.</w:t>
      </w:r>
    </w:p>
    <w:p>
      <w:r>
        <w:br w:type="page"/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Lay Summary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Word count: 190 / 200</w:t>
            </w:r>
          </w:p>
          <w:p>
            <w:pPr>
              <w:pStyle w:val="BodyText"/>
            </w:pPr>
            <w:r>
              <w:t xml:space="preserve">Researchers often use International Classification of Diseases (ICD) diagnosis</w:t>
            </w:r>
            <w:r>
              <w:t xml:space="preserve"> </w:t>
            </w:r>
            <w:r>
              <w:t xml:space="preserve">and procedure codes to identify health conditions in large medical datasets.</w:t>
            </w:r>
            <w:r>
              <w:t xml:space="preserve"> </w:t>
            </w:r>
            <w:r>
              <w:t xml:space="preserve">Comorbidity algorithms group these codes into meaningful categories, such as</w:t>
            </w:r>
            <w:r>
              <w:t xml:space="preserve"> </w:t>
            </w:r>
            <w:r>
              <w:t xml:space="preserve">heart disease or cancer, and are essential for understanding patient complexity,</w:t>
            </w:r>
            <w:r>
              <w:t xml:space="preserve"> </w:t>
            </w:r>
            <w:r>
              <w:t xml:space="preserve">comparing outcomes, and adjusting for risk. However, existing tools usually</w:t>
            </w:r>
            <w:r>
              <w:t xml:space="preserve"> </w:t>
            </w:r>
            <w:r>
              <w:t xml:space="preserve">handle only one or two algorithms, work with either ICD-9 or ICD-10 (but rarely</w:t>
            </w:r>
            <w:r>
              <w:t xml:space="preserve"> </w:t>
            </w:r>
            <w:r>
              <w:t xml:space="preserve">both together), and do not track health conditions across multiple hospital</w:t>
            </w:r>
            <w:r>
              <w:t xml:space="preserve"> </w:t>
            </w:r>
            <w:r>
              <w:t xml:space="preserve">visits. This can lead to missed or inconsistent results.</w:t>
            </w:r>
          </w:p>
          <w:p>
            <w:pPr>
              <w:pStyle w:val="BodyText"/>
            </w:pPr>
            <w:r>
              <w:t xml:space="preserve">We created</w:t>
            </w:r>
            <w:r>
              <w:t xml:space="preserve"> </w:t>
            </w:r>
            <w:r>
              <w:rPr>
                <w:i/>
                <w:iCs/>
              </w:rPr>
              <w:t xml:space="preserve">medicalcoder</w:t>
            </w:r>
            <w:r>
              <w:t xml:space="preserve">, an R package that solves these problems. It includes</w:t>
            </w:r>
            <w:r>
              <w:t xml:space="preserve"> </w:t>
            </w:r>
            <w:r>
              <w:t xml:space="preserve">a complete database of ICD-9 and ICD-10 codes and provides a single, easy-to-use</w:t>
            </w:r>
            <w:r>
              <w:t xml:space="preserve"> </w:t>
            </w:r>
            <w:r>
              <w:t xml:space="preserve">function to apply many comorbidity algorithms. The package can recognize both</w:t>
            </w:r>
            <w:r>
              <w:t xml:space="preserve"> </w:t>
            </w:r>
            <w:r>
              <w:t xml:space="preserve">full and compact ICD codes, use present-on-admission flags, identify primary</w:t>
            </w:r>
            <w:r>
              <w:t xml:space="preserve"> </w:t>
            </w:r>
            <w:r>
              <w:t xml:space="preserve">diagnoses, and follow patients across multiple encounters to avoid missing</w:t>
            </w:r>
            <w:r>
              <w:t xml:space="preserve"> </w:t>
            </w:r>
            <w:r>
              <w:t xml:space="preserve">conditions that appear earlier in their history.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i/>
                <w:iCs/>
              </w:rPr>
              <w:t xml:space="preserve">medicalcoder</w:t>
            </w:r>
            <w:r>
              <w:t xml:space="preserve"> </w:t>
            </w:r>
            <w:r>
              <w:t xml:space="preserve">is fast, works with base R, has extensive automated tests, and</w:t>
            </w:r>
            <w:r>
              <w:t xml:space="preserve"> </w:t>
            </w:r>
            <w:r>
              <w:t xml:space="preserve">has been validated against reference implementations. It helps researchers apply</w:t>
            </w:r>
            <w:r>
              <w:t xml:space="preserve"> </w:t>
            </w:r>
            <w:r>
              <w:t xml:space="preserve">comorbidity algorithms more accurately and consistently, improving the quality</w:t>
            </w:r>
            <w:r>
              <w:t xml:space="preserve"> </w:t>
            </w:r>
            <w:r>
              <w:t xml:space="preserve">and reproducibility of studies using electronic health record or administrative</w:t>
            </w:r>
            <w:r>
              <w:t xml:space="preserve"> </w:t>
            </w:r>
            <w:r>
              <w:t xml:space="preserve">data.</w:t>
            </w:r>
          </w:p>
          <w:p/>
        </w:tc>
      </w:tr>
    </w:tbl>
    <w:p>
      <w:r>
        <w:br w:type="page"/>
      </w:r>
    </w:p>
    <w:bookmarkEnd w:id="10"/>
    <w:bookmarkStart w:id="11" w:name="background-and-significance"/>
    <w:p>
      <w:pPr>
        <w:pStyle w:val="Heading1"/>
      </w:pPr>
      <w:r>
        <w:t xml:space="preserve">Background and Significance</w:t>
      </w:r>
    </w:p>
    <w:p>
      <w:pPr>
        <w:pStyle w:val="FirstParagraph"/>
      </w:pPr>
      <w:r>
        <w:t xml:space="preserve">Accurate identification of clinical conditions in large healthcare datasets</w:t>
      </w:r>
      <w:r>
        <w:t xml:space="preserve"> </w:t>
      </w:r>
      <w:r>
        <w:t xml:space="preserve">depends on International Classification of Diseases (ICD) codes</w:t>
      </w:r>
      <w:r>
        <w:t xml:space="preserve"> </w:t>
      </w:r>
      <w:r>
        <w:t xml:space="preserve">[1–6]</w:t>
      </w:r>
      <w:r>
        <w:t xml:space="preserve">.</w:t>
      </w:r>
      <w:r>
        <w:t xml:space="preserve"> </w:t>
      </w:r>
      <w:r>
        <w:t xml:space="preserve">Comorbidity algorithms built on these codes support risk adjustment, cohort</w:t>
      </w:r>
      <w:r>
        <w:t xml:space="preserve"> </w:t>
      </w:r>
      <w:r>
        <w:t xml:space="preserve">characterization, and reproducible studies of patient populations</w:t>
      </w:r>
      <w:r>
        <w:t xml:space="preserve"> </w:t>
      </w:r>
      <w:r>
        <w:t xml:space="preserve">[1,7–9]</w:t>
      </w:r>
      <w:r>
        <w:t xml:space="preserve">.</w:t>
      </w:r>
    </w:p>
    <w:p>
      <w:pPr>
        <w:pStyle w:val="BodyText"/>
      </w:pPr>
      <w:r>
        <w:t xml:space="preserve">Existing software for flagging comorbidities typically implements one or two</w:t>
      </w:r>
      <w:r>
        <w:t xml:space="preserve"> </w:t>
      </w:r>
      <w:r>
        <w:t xml:space="preserve">algorithms, most often variants of Charlson and Elixhauser, supports either</w:t>
      </w:r>
      <w:r>
        <w:t xml:space="preserve"> </w:t>
      </w:r>
      <w:r>
        <w:t xml:space="preserve">ICD-9 or ICD-10 (but not both simultaneously),</w:t>
      </w:r>
      <w:r>
        <w:t xml:space="preserve"> </w:t>
      </w:r>
      <w:r>
        <w:t xml:space="preserve">and requires manual reconciliation of mixed-version datasets</w:t>
      </w:r>
      <w:r>
        <w:t xml:space="preserve"> </w:t>
      </w:r>
      <w:r>
        <w:t xml:space="preserve">[4,10–14]</w:t>
      </w:r>
      <w:r>
        <w:t xml:space="preserve">.</w:t>
      </w:r>
    </w:p>
    <w:p>
      <w:pPr>
        <w:pStyle w:val="BodyText"/>
      </w:pPr>
      <w:r>
        <w:t xml:space="preserve">Despite the importance of longitudinal data in modern medical research,</w:t>
      </w:r>
      <w:r>
        <w:t xml:space="preserve"> </w:t>
      </w:r>
      <w:r>
        <w:t xml:space="preserve">comorbidity software typically operates at the encounter level. While the AHRQ</w:t>
      </w:r>
      <w:r>
        <w:t xml:space="preserve"> </w:t>
      </w:r>
      <w:r>
        <w:t xml:space="preserve">[5]</w:t>
      </w:r>
      <w:r>
        <w:t xml:space="preserve"> </w:t>
      </w:r>
      <w:r>
        <w:t xml:space="preserve">Elixhauser variants account for present-on-admission (POA)</w:t>
      </w:r>
      <w:r>
        <w:t xml:space="preserve"> </w:t>
      </w:r>
      <w:r>
        <w:t xml:space="preserve">indicators and exemptions, it does not propagate conditions across encounters</w:t>
      </w:r>
      <w:r>
        <w:t xml:space="preserve"> </w:t>
      </w:r>
      <w:r>
        <w:t xml:space="preserve">within a patient record. Conditions that arise during acute care and should not</w:t>
      </w:r>
      <w:r>
        <w:t xml:space="preserve"> </w:t>
      </w:r>
      <w:r>
        <w:t xml:space="preserve">be considered comorbidities for the present encounter are handled via POA</w:t>
      </w:r>
      <w:r>
        <w:t xml:space="preserve"> </w:t>
      </w:r>
      <w:r>
        <w:t xml:space="preserve">indicators. However, unless the relevant ICD codes are flagged as POA on</w:t>
      </w:r>
      <w:r>
        <w:t xml:space="preserve"> </w:t>
      </w:r>
      <w:r>
        <w:t xml:space="preserve">subsequent encounters, those comorbidities will not be correctly classified.</w:t>
      </w:r>
    </w:p>
    <w:p>
      <w:pPr>
        <w:pStyle w:val="BodyText"/>
      </w:pPr>
      <w:r>
        <w:t xml:space="preserve">There is a need for a tool that applies multiple comorbidity algorithms through</w:t>
      </w:r>
      <w:r>
        <w:t xml:space="preserve"> </w:t>
      </w:r>
      <w:r>
        <w:t xml:space="preserve">a unified API while accounting for algorithm-specific nuances, ICD versions and</w:t>
      </w:r>
      <w:r>
        <w:t xml:space="preserve"> </w:t>
      </w:r>
      <w:r>
        <w:t xml:space="preserve">types, and longitudinal data.</w:t>
      </w:r>
    </w:p>
    <w:p>
      <w:pPr>
        <w:pStyle w:val="BodyText"/>
      </w:pPr>
      <w:r>
        <w:t xml:space="preserve">We developed the R package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to fill this need.</w:t>
      </w:r>
    </w:p>
    <w:bookmarkEnd w:id="11"/>
    <w:bookmarkStart w:id="12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Develop a fully self-contained R package that includes a comprehensive internal</w:t>
      </w:r>
      <w:r>
        <w:t xml:space="preserve"> </w:t>
      </w:r>
      <w:r>
        <w:t xml:space="preserve">ICD database capable of applying multiple comorbidity algorithms to clinical</w:t>
      </w:r>
      <w:r>
        <w:t xml:space="preserve"> </w:t>
      </w:r>
      <w:r>
        <w:t xml:space="preserve">datasets, and requires no external dependencies, internet access, or external</w:t>
      </w:r>
      <w:r>
        <w:t xml:space="preserve"> </w:t>
      </w:r>
      <w:r>
        <w:t xml:space="preserve">data resources. The package should support simultaneous ICD-9 and ICD-10 coding,</w:t>
      </w:r>
      <w:r>
        <w:t xml:space="preserve"> </w:t>
      </w:r>
      <w:r>
        <w:t xml:space="preserve">accept full and compact ICD codes, incorporate present-on-admission and primary</w:t>
      </w:r>
      <w:r>
        <w:t xml:space="preserve"> </w:t>
      </w:r>
      <w:r>
        <w:t xml:space="preserve">diagnosis indicators, and enable longitudinal comorbidity assessment across</w:t>
      </w:r>
      <w:r>
        <w:t xml:space="preserve"> </w:t>
      </w:r>
      <w:r>
        <w:t xml:space="preserve">patient encounters.</w:t>
      </w:r>
    </w:p>
    <w:bookmarkEnd w:id="12"/>
    <w:bookmarkStart w:id="18" w:name="materials-and-methods"/>
    <w:p>
      <w:pPr>
        <w:pStyle w:val="Heading1"/>
      </w:pPr>
      <w:r>
        <w:t xml:space="preserve">Materials and Methods</w:t>
      </w:r>
    </w:p>
    <w:p>
      <w:pPr>
        <w:pStyle w:val="FirstParagraph"/>
      </w:pPr>
      <w:r>
        <w:rPr>
          <w:i/>
          <w:iCs/>
        </w:rPr>
        <w:t xml:space="preserve">medicalcoder</w:t>
      </w:r>
      <w:r>
        <w:t xml:space="preserve"> </w:t>
      </w:r>
      <w:r>
        <w:t xml:space="preserve">was designed to be fully self-contained and deployable in</w:t>
      </w:r>
      <w:r>
        <w:t xml:space="preserve"> </w:t>
      </w:r>
      <w:r>
        <w:t xml:space="preserve">restricted computing environments with limited or no internet access</w:t>
      </w:r>
      <w:r>
        <w:t xml:space="preserve"> </w:t>
      </w:r>
      <w:r>
        <w:t xml:space="preserve">and tightly controled system settings and software. No external namespaces are imported; R ≥</w:t>
      </w:r>
      <w:r>
        <w:t xml:space="preserve"> </w:t>
      </w:r>
      <w:r>
        <w:t xml:space="preserve">3.5.0 is the only required dependency, reflecting changes to R’s serialization</w:t>
      </w:r>
      <w:r>
        <w:t xml:space="preserve"> </w:t>
      </w:r>
      <w:r>
        <w:t xml:space="preserve">format introduced in that version</w:t>
      </w:r>
      <w:r>
        <w:rPr>
          <w:rStyle w:val="FootnoteReference"/>
        </w:rPr>
        <w:footnoteReference w:id="13"/>
      </w:r>
      <w:r>
        <w:t xml:space="preserve">. Several packages are suggested for enhanced</w:t>
      </w:r>
      <w:r>
        <w:t xml:space="preserve"> </w:t>
      </w:r>
      <w:r>
        <w:t xml:space="preserve">performance (data.table</w:t>
      </w:r>
      <w:r>
        <w:t xml:space="preserve"> </w:t>
      </w:r>
      <w:r>
        <w:t xml:space="preserve">[15]</w:t>
      </w:r>
      <w:r>
        <w:t xml:space="preserve"> </w:t>
      </w:r>
      <w:r>
        <w:t xml:space="preserve">and dplyr</w:t>
      </w:r>
      <w:r>
        <w:t xml:space="preserve"> </w:t>
      </w:r>
      <w:r>
        <w:t xml:space="preserve">[16]</w:t>
      </w:r>
      <w:r>
        <w:t xml:space="preserve">) and for testing</w:t>
      </w:r>
      <w:r>
        <w:t xml:space="preserve"> </w:t>
      </w:r>
      <w:r>
        <w:t xml:space="preserve">and documentation, but are not required for installation or use.</w:t>
      </w:r>
    </w:p>
    <w:p>
      <w:pPr>
        <w:pStyle w:val="BodyText"/>
      </w:pPr>
      <w:r>
        <w:t xml:space="preserve">The internal ICD database includes ICD-9 diagnostic codes from the Centers</w:t>
      </w:r>
      <w:r>
        <w:t xml:space="preserve"> </w:t>
      </w:r>
      <w:r>
        <w:t xml:space="preserve">for Disease Control and Prevention (CDC; fiscal years 1997 - 2012) and ICD-9-CM and</w:t>
      </w:r>
      <w:r>
        <w:t xml:space="preserve"> </w:t>
      </w:r>
      <w:r>
        <w:t xml:space="preserve">ICD-9-PCS codes from the Centers for Medicare and Medicaid Services (CMS; fiscal</w:t>
      </w:r>
      <w:r>
        <w:t xml:space="preserve"> </w:t>
      </w:r>
      <w:r>
        <w:t xml:space="preserve">years 2006 - 2015). ICD-10 diagnostic codes from the CDC (calendar years 2001 - 2025)</w:t>
      </w:r>
      <w:r>
        <w:t xml:space="preserve"> </w:t>
      </w:r>
      <w:r>
        <w:t xml:space="preserve">and the World Health Organization (WHO; calendar years 2008 - 2019) are included,</w:t>
      </w:r>
      <w:r>
        <w:t xml:space="preserve"> </w:t>
      </w:r>
      <w:r>
        <w:t xml:space="preserve">along with ICD-10-CM and ICD-10-PCS codes from CMS (fiscal years 2014 - 2026). The</w:t>
      </w:r>
      <w:r>
        <w:t xml:space="preserve"> </w:t>
      </w:r>
      <w:r>
        <w:t xml:space="preserve">internal database will be extended as additional code sets are published.</w:t>
      </w:r>
    </w:p>
    <w:p>
      <w:pPr>
        <w:pStyle w:val="BodyText"/>
      </w:pPr>
      <w:r>
        <w:t xml:space="preserve">Charlson variants include Deyo (as denoted in</w:t>
      </w:r>
      <w:r>
        <w:t xml:space="preserve"> </w:t>
      </w:r>
      <w:r>
        <w:t xml:space="preserve">[1]</w:t>
      </w:r>
      <w:r>
        <w:t xml:space="preserve">), Quan (2005; 2011), and</w:t>
      </w:r>
      <w:r>
        <w:t xml:space="preserve"> </w:t>
      </w:r>
      <w:r>
        <w:t xml:space="preserve">CDMF (2019). Elixhauser variants include the original Elixhauser (1988), AHRQ</w:t>
      </w:r>
      <w:r>
        <w:t xml:space="preserve"> </w:t>
      </w:r>
      <w:r>
        <w:t xml:space="preserve">Web (ICD-9 based as denoted in</w:t>
      </w:r>
      <w:r>
        <w:t xml:space="preserve"> </w:t>
      </w:r>
      <w:r>
        <w:t xml:space="preserve">[1]</w:t>
      </w:r>
      <w:r>
        <w:t xml:space="preserve">), Quan (2005), and AHRQ ICD-10</w:t>
      </w:r>
      <w:r>
        <w:t xml:space="preserve"> </w:t>
      </w:r>
      <w:r>
        <w:t xml:space="preserve">fiscal-year implementations (2022–2026). PCCC variants include versions 2.0,</w:t>
      </w:r>
      <w:r>
        <w:t xml:space="preserve"> </w:t>
      </w:r>
      <w:r>
        <w:t xml:space="preserve">2.1, 3.0, and 3.1.</w:t>
      </w:r>
    </w:p>
    <w:p>
      <w:pPr>
        <w:pStyle w:val="BodyText"/>
      </w:pPr>
      <w:r>
        <w:t xml:space="preserve">A comprehensive test suite runs as a GitHub Action and on the Comprehensive R</w:t>
      </w:r>
      <w:r>
        <w:t xml:space="preserve"> </w:t>
      </w:r>
      <w:r>
        <w:t xml:space="preserve">Archive Network (CRAN). An additional test suite runs on demand for all released</w:t>
      </w:r>
      <w:r>
        <w:t xml:space="preserve"> </w:t>
      </w:r>
      <w:r>
        <w:t xml:space="preserve">versions of R ≥ 3.5.0 without suggested packages, and for versions ≥</w:t>
      </w:r>
      <w:r>
        <w:t xml:space="preserve"> </w:t>
      </w:r>
      <w:r>
        <w:t xml:space="preserve">4.4.0 with suggested packages</w:t>
      </w:r>
      <w:r>
        <w:rPr>
          <w:rStyle w:val="FootnoteReference"/>
        </w:rPr>
        <w:footnoteReference w:id="14"/>
      </w:r>
      <w:r>
        <w:t xml:space="preserve">.</w:t>
      </w:r>
    </w:p>
    <w:p>
      <w:pPr>
        <w:pStyle w:val="BodyText"/>
      </w:pPr>
      <w:r>
        <w:t xml:space="preserve">The test suite includes validation between</w:t>
      </w:r>
      <w:r>
        <w:t xml:space="preserve"> </w:t>
      </w:r>
      <w:r>
        <w:rPr>
          <w:rStyle w:val="VerbatimChar"/>
        </w:rPr>
        <w:t xml:space="preserve">method = "pccc_v2.0"</w:t>
      </w:r>
      <w:r>
        <w:t xml:space="preserve"> </w:t>
      </w:r>
      <w:r>
        <w:t xml:space="preserve">and the R</w:t>
      </w:r>
      <w:r>
        <w:t xml:space="preserve"> </w:t>
      </w:r>
      <w:r>
        <w:t xml:space="preserve">package</w:t>
      </w:r>
      <w:r>
        <w:t xml:space="preserve"> </w:t>
      </w:r>
      <w:r>
        <w:rPr>
          <w:i/>
          <w:iCs/>
        </w:rPr>
        <w:t xml:space="preserve">pccc</w:t>
      </w:r>
      <w:r>
        <w:t xml:space="preserve"> </w:t>
      </w:r>
      <w:r>
        <w:t xml:space="preserve">[11,17]</w:t>
      </w:r>
      <w:r>
        <w:t xml:space="preserve">, and between</w:t>
      </w:r>
      <w:r>
        <w:t xml:space="preserve"> </w:t>
      </w:r>
      <w:r>
        <w:rPr>
          <w:rStyle w:val="VerbatimChar"/>
        </w:rPr>
        <w:t xml:space="preserve">method = elixhauser_ahrq20XX</w:t>
      </w:r>
      <w:r>
        <w:t xml:space="preserve"> </w:t>
      </w:r>
      <w:r>
        <w:t xml:space="preserve">and the published SAS code from AHRQ</w:t>
      </w:r>
      <w:r>
        <w:rPr>
          <w:rStyle w:val="FootnoteReference"/>
        </w:rPr>
        <w:footnoteReference w:id="15"/>
      </w:r>
      <w:r>
        <w:t xml:space="preserve"> </w:t>
      </w:r>
      <w:r>
        <w:t xml:space="preserve">[5]</w:t>
      </w:r>
      <w:r>
        <w:t xml:space="preserve">. As</w:t>
      </w:r>
      <w:r>
        <w:t xml:space="preserve"> </w:t>
      </w:r>
      <w:r>
        <w:t xml:space="preserve">part of the website</w:t>
      </w:r>
      <w:r>
        <w:rPr>
          <w:rStyle w:val="FootnoteReference"/>
        </w:rPr>
        <w:footnoteReference w:id="16"/>
      </w:r>
      <w:r>
        <w:t xml:space="preserve"> </w:t>
      </w:r>
      <w:r>
        <w:t xml:space="preserve">build, consistency between</w:t>
      </w:r>
      <w:r>
        <w:t xml:space="preserve"> </w:t>
      </w:r>
      <w:r>
        <w:rPr>
          <w:rStyle w:val="VerbatimChar"/>
        </w:rPr>
        <w:t xml:space="preserve">method = charlson_quan2005</w:t>
      </w:r>
      <w:r>
        <w:t xml:space="preserve"> </w:t>
      </w:r>
      <w:r>
        <w:t xml:space="preserve">and the SQL code provided by MIT-LCP/mimic-code/mimic-iv</w:t>
      </w:r>
      <w:r>
        <w:t xml:space="preserve">[18]</w:t>
      </w:r>
      <w:r>
        <w:t xml:space="preserve"> </w:t>
      </w:r>
      <w:r>
        <w:t xml:space="preserve">is</w:t>
      </w:r>
      <w:r>
        <w:t xml:space="preserve"> </w:t>
      </w:r>
      <w:r>
        <w:t xml:space="preserve">verified.</w:t>
      </w:r>
    </w:p>
    <w:p>
      <w:pPr>
        <w:pStyle w:val="BodyText"/>
      </w:pPr>
      <w:r>
        <w:t xml:space="preserve">We use the MIMIC-IV v3.1 Data</w:t>
      </w:r>
      <w:r>
        <w:t xml:space="preserve"> </w:t>
      </w:r>
      <w:r>
        <w:t xml:space="preserve">[19–21]</w:t>
      </w:r>
      <w:r>
        <w:t xml:space="preserve"> </w:t>
      </w:r>
      <w:r>
        <w:t xml:space="preserve">as the foundation for</w:t>
      </w:r>
      <w:r>
        <w:t xml:space="preserve"> </w:t>
      </w:r>
      <w:r>
        <w:t xml:space="preserve">the following examples and the supplement. The MIMIC-IV v3.1 dataset is a large,</w:t>
      </w:r>
      <w:r>
        <w:t xml:space="preserve"> </w:t>
      </w:r>
      <w:r>
        <w:t xml:space="preserve">publicly available clinical database used for method development, validation,</w:t>
      </w:r>
      <w:r>
        <w:t xml:space="preserve"> </w:t>
      </w:r>
      <w:r>
        <w:t xml:space="preserve">and reproducible research in clinical informatics and outcomes research.</w:t>
      </w:r>
    </w:p>
    <w:p>
      <w:pPr>
        <w:pStyle w:val="BodyText"/>
      </w:pPr>
      <w:r>
        <w:t xml:space="preserve">We compare the results of the comorbidity flagging between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and</w:t>
      </w:r>
      <w:r>
        <w:t xml:space="preserve"> </w:t>
      </w:r>
      <w:r>
        <w:t xml:space="preserve">three alternatives, the MIMIC-IV Code released by the MIT Laboratory for</w:t>
      </w:r>
      <w:r>
        <w:t xml:space="preserve"> </w:t>
      </w:r>
      <w:r>
        <w:t xml:space="preserve">Computational Physiology (MIT_LCP) on</w:t>
      </w:r>
      <w:r>
        <w:t xml:space="preserve"> </w:t>
      </w:r>
      <w:r>
        <w:t xml:space="preserve">GitHub</w:t>
      </w:r>
      <w:r>
        <w:rPr>
          <w:rStyle w:val="FootnoteReference"/>
        </w:rPr>
        <w:footnoteReference w:id="17"/>
      </w:r>
      <w:r>
        <w:t xml:space="preserve">, and the R packages</w:t>
      </w:r>
      <w:r>
        <w:t xml:space="preserve"> </w:t>
      </w:r>
      <w:r>
        <w:rPr>
          <w:i/>
          <w:iCs/>
        </w:rPr>
        <w:t xml:space="preserve">comorbidity</w:t>
      </w:r>
      <w:r>
        <w:t xml:space="preserve"> </w:t>
      </w:r>
      <w:r>
        <w:t xml:space="preserve">[10]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pccc</w:t>
      </w:r>
      <w:r>
        <w:t xml:space="preserve"> </w:t>
      </w:r>
      <w:r>
        <w:t xml:space="preserve">[11]</w:t>
      </w:r>
      <w:r>
        <w:t xml:space="preserve">.</w:t>
      </w:r>
    </w:p>
    <w:bookmarkEnd w:id="18"/>
    <w:bookmarkStart w:id="19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The MIMIC-IV v3.1 dataset includes</w:t>
      </w:r>
      <w:r>
        <w:t xml:space="preserve"> </w:t>
      </w:r>
      <w:r>
        <w:t xml:space="preserve">7,365,770 rows of data for</w:t>
      </w:r>
      <w:r>
        <w:t xml:space="preserve"> </w:t>
      </w:r>
      <w:r>
        <w:t xml:space="preserve">364,627 unique subjects and a</w:t>
      </w:r>
      <w:r>
        <w:t xml:space="preserve"> </w:t>
      </w:r>
      <w:r>
        <w:t xml:space="preserve">total of</w:t>
      </w:r>
      <w:r>
        <w:t xml:space="preserve"> </w:t>
      </w:r>
      <w:r>
        <w:t xml:space="preserve">687,203 unique</w:t>
      </w:r>
      <w:r>
        <w:t xml:space="preserve"> </w:t>
      </w:r>
      <w:r>
        <w:t xml:space="preserve">hospital encounters.</w:t>
      </w:r>
      <w:r>
        <w:t xml:space="preserve"> </w:t>
      </w:r>
      <w:r>
        <w:t xml:space="preserve">30,921</w:t>
      </w:r>
      <w:r>
        <w:t xml:space="preserve"> </w:t>
      </w:r>
      <w:r>
        <w:t xml:space="preserve">subjects’ records contain both ICD-9 and ICD-10 codes, and</w:t>
      </w:r>
      <w:r>
        <w:t xml:space="preserve"> </w:t>
      </w:r>
      <w:r>
        <w:t xml:space="preserve">11</w:t>
      </w:r>
      <w:r>
        <w:t xml:space="preserve"> </w:t>
      </w:r>
      <w:r>
        <w:t xml:space="preserve">encounters contain both ICD-9 and ICD-10 codes.</w:t>
      </w:r>
    </w:p>
    <w:p>
      <w:pPr>
        <w:pStyle w:val="BodyText"/>
      </w:pPr>
      <w:r>
        <w:t xml:space="preserve">A single function,</w:t>
      </w:r>
      <w:r>
        <w:t xml:space="preserve"> </w:t>
      </w:r>
      <w:r>
        <w:rPr>
          <w:rStyle w:val="VerbatimChar"/>
        </w:rPr>
        <w:t xml:space="preserve">medicalcoder::comorbidities()</w:t>
      </w:r>
      <w:r>
        <w:t xml:space="preserve">, is the interface for</w:t>
      </w:r>
      <w:r>
        <w:t xml:space="preserve"> </w:t>
      </w:r>
      <w:r>
        <w:t xml:space="preserve">applying any of 17 comorbidity</w:t>
      </w:r>
      <w:r>
        <w:t xml:space="preserve"> </w:t>
      </w:r>
      <w:r>
        <w:t xml:space="preserve">algorithms implemented by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, see Figure 1. The input data are expected</w:t>
      </w:r>
      <w:r>
        <w:t xml:space="preserve"> </w:t>
      </w:r>
      <w:r>
        <w:t xml:space="preserve">to be in long format, one ICD code per row, with optional columns for</w:t>
      </w:r>
      <w:r>
        <w:t xml:space="preserve"> </w:t>
      </w:r>
      <w:r>
        <w:t xml:space="preserve">identification variables (e.g., patient and encounter ids), ICD version (integer</w:t>
      </w:r>
      <w:r>
        <w:t xml:space="preserve"> </w:t>
      </w:r>
      <w:r>
        <w:t xml:space="preserve">value 9 or 10), ICD type (1 for diagnostic code, 0 for procedure code), POA</w:t>
      </w:r>
      <w:r>
        <w:t xml:space="preserve"> </w:t>
      </w:r>
      <w:r>
        <w:t xml:space="preserve">indicator, and primary diagnosis indicator. The ICD codes can be full, compact,</w:t>
      </w:r>
      <w:r>
        <w:t xml:space="preserve"> </w:t>
      </w:r>
      <w:r>
        <w:t xml:space="preserve">or a combination thereof. A single patient/encounter record may contain ICD-9,</w:t>
      </w:r>
      <w:r>
        <w:t xml:space="preserve"> </w:t>
      </w:r>
      <w:r>
        <w:t xml:space="preserve">ICD-10, or both.</w:t>
      </w:r>
    </w:p>
    <w:p>
      <w:pPr>
        <w:pStyle w:val="BodyText"/>
      </w:pPr>
      <w:r>
        <w:t xml:space="preserve">Several arguments are provided in paired forms (e.g.,</w:t>
      </w:r>
      <w:r>
        <w:t xml:space="preserve"> </w:t>
      </w:r>
      <w:r>
        <w:rPr>
          <w:rStyle w:val="VerbatimChar"/>
        </w:rPr>
        <w:t xml:space="preserve">dx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dx.var</w:t>
      </w:r>
      <w:r>
        <w:t xml:space="preserve">,</w:t>
      </w:r>
      <w:r>
        <w:t xml:space="preserve"> </w:t>
      </w:r>
      <w:r>
        <w:rPr>
          <w:rStyle w:val="VerbatimChar"/>
        </w:rPr>
        <w:t xml:space="preserve">icdv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icdv.var</w:t>
      </w:r>
      <w:r>
        <w:t xml:space="preserve">). These pairs represent the same conceptual information at two</w:t>
      </w:r>
      <w:r>
        <w:t xml:space="preserve"> </w:t>
      </w:r>
      <w:r>
        <w:t xml:space="preserve">levels of granularity. Arguments without the</w:t>
      </w:r>
      <w:r>
        <w:t xml:space="preserve"> </w:t>
      </w:r>
      <w:r>
        <w:rPr>
          <w:rStyle w:val="VerbatimChar"/>
        </w:rPr>
        <w:t xml:space="preserve">.var</w:t>
      </w:r>
      <w:r>
        <w:t xml:space="preserve"> </w:t>
      </w:r>
      <w:r>
        <w:t xml:space="preserve">suffix specify dataset-level</w:t>
      </w:r>
      <w:r>
        <w:t xml:space="preserve"> </w:t>
      </w:r>
      <w:r>
        <w:t xml:space="preserve">invariants (e.g., all rows are ICD-10, or all rows are diagnoses), whereas</w:t>
      </w:r>
      <w:r>
        <w:t xml:space="preserve"> </w:t>
      </w:r>
      <w:r>
        <w:t xml:space="preserve">arguments with the</w:t>
      </w:r>
      <w:r>
        <w:t xml:space="preserve"> </w:t>
      </w:r>
      <w:r>
        <w:rPr>
          <w:rStyle w:val="VerbatimChar"/>
        </w:rPr>
        <w:t xml:space="preserve">.var</w:t>
      </w:r>
      <w:r>
        <w:t xml:space="preserve"> </w:t>
      </w:r>
      <w:r>
        <w:t xml:space="preserve">suffix reference columns in the input data that encode</w:t>
      </w:r>
      <w:r>
        <w:t xml:space="preserve"> </w:t>
      </w:r>
      <w:r>
        <w:t xml:space="preserve">row-level variation.</w:t>
      </w:r>
    </w:p>
    <w:p>
      <w:pPr>
        <w:pStyle w:val="BodyText"/>
      </w:pPr>
      <w:r>
        <w:t xml:space="preserve">This design avoids requiring users to create constant-valued columns when</w:t>
      </w:r>
      <w:r>
        <w:t xml:space="preserve"> </w:t>
      </w:r>
      <w:r>
        <w:t xml:space="preserve">dataset-level properties are already known, while still supporting heterogeneous</w:t>
      </w:r>
      <w:r>
        <w:t xml:space="preserve"> </w:t>
      </w:r>
      <w:r>
        <w:t xml:space="preserve">datasets in which code attributes vary across rows. When both forms are</w:t>
      </w:r>
      <w:r>
        <w:t xml:space="preserve"> </w:t>
      </w:r>
      <w:r>
        <w:t xml:space="preserve">supplied, the column-based form (e.g.,</w:t>
      </w:r>
      <w:r>
        <w:t xml:space="preserve"> </w:t>
      </w:r>
      <w:r>
        <w:rPr>
          <w:rStyle w:val="VerbatimChar"/>
        </w:rPr>
        <w:t xml:space="preserve">dx.var</w:t>
      </w:r>
      <w:r>
        <w:t xml:space="preserve">) takes precedence and a warning</w:t>
      </w:r>
      <w:r>
        <w:t xml:space="preserve"> </w:t>
      </w:r>
      <w:r>
        <w:t xml:space="preserve">is issued to indicate the override.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id.vars</w:t>
      </w:r>
      <w:r>
        <w:t xml:space="preserve"> </w:t>
      </w:r>
      <w:r>
        <w:t xml:space="preserve">argument controls how comorbidities are summarized into</w:t>
      </w:r>
      <w:r>
        <w:t xml:space="preserve"> </w:t>
      </w:r>
      <w:r>
        <w:t xml:space="preserve">encounter-level flags. When flag.method =</w:t>
      </w:r>
      <w:r>
        <w:t xml:space="preserve"> </w:t>
      </w:r>
      <w:r>
        <w:t xml:space="preserve">“current”</w:t>
      </w:r>
      <w:r>
        <w:t xml:space="preserve">, id.vars is optional: if</w:t>
      </w:r>
      <w:r>
        <w:t xml:space="preserve"> </w:t>
      </w:r>
      <w:r>
        <w:t xml:space="preserve">omitted, the entire dataset is treated as a single encounter and a single row of</w:t>
      </w:r>
      <w:r>
        <w:t xml:space="preserve"> </w:t>
      </w:r>
      <w:r>
        <w:t xml:space="preserve">flags is returned.</w:t>
      </w:r>
    </w:p>
    <w:p>
      <w:pPr>
        <w:pStyle w:val="BodyText"/>
      </w:pPr>
      <w:r>
        <w:t xml:space="preserve">For longitudinal flagging (</w:t>
      </w:r>
      <w:r>
        <w:rPr>
          <w:rStyle w:val="VerbatimChar"/>
        </w:rPr>
        <w:t xml:space="preserve">flag.method = "cumulative"</w:t>
      </w:r>
      <w:r>
        <w:t xml:space="preserve">),</w:t>
      </w:r>
      <w:r>
        <w:t xml:space="preserve"> </w:t>
      </w:r>
      <w:r>
        <w:rPr>
          <w:rStyle w:val="VerbatimChar"/>
        </w:rPr>
        <w:t xml:space="preserve">id.vars</w:t>
      </w:r>
      <w:r>
        <w:t xml:space="preserve"> </w:t>
      </w:r>
      <w:r>
        <w:t xml:space="preserve">must include</w:t>
      </w:r>
      <w:r>
        <w:t xml:space="preserve"> </w:t>
      </w:r>
      <w:r>
        <w:t xml:space="preserve">at least two variables. The leading variables define the patient and</w:t>
      </w:r>
      <w:r>
        <w:t xml:space="preserve"> </w:t>
      </w:r>
      <w:r>
        <w:t xml:space="preserve">the final variable defines within-patient ordering. Specifically, the data are</w:t>
      </w:r>
      <w:r>
        <w:t xml:space="preserve"> </w:t>
      </w:r>
      <w:r>
        <w:t xml:space="preserve">sorted by</w:t>
      </w:r>
      <w:r>
        <w:t xml:space="preserve"> </w:t>
      </w:r>
      <w:r>
        <w:rPr>
          <w:rStyle w:val="VerbatimChar"/>
        </w:rPr>
        <w:t xml:space="preserve">id.vars</w:t>
      </w:r>
      <w:r>
        <w:t xml:space="preserve">, and relevant ICD codes reported on encounter i are carried</w:t>
      </w:r>
      <w:r>
        <w:t xml:space="preserve"> </w:t>
      </w:r>
      <w:r>
        <w:t xml:space="preserve">forward to encounters i+1, i+2, … within the same patient history.</w:t>
      </w:r>
    </w:p>
    <w:p>
      <w:pPr>
        <w:pStyle w:val="BodyText"/>
      </w:pPr>
      <w:r>
        <w:t xml:space="preserve">The ordering variable may be a date/time (e.g., admission time) or a numeric</w:t>
      </w:r>
      <w:r>
        <w:t xml:space="preserve"> </w:t>
      </w:r>
      <w:r>
        <w:t xml:space="preserve">sequence (e.g., encounter number). In large datasets, using an integer sequence</w:t>
      </w:r>
      <w:r>
        <w:t xml:space="preserve"> </w:t>
      </w:r>
      <w:r>
        <w:t xml:space="preserve">often reduces overhead relative to sorting and joining on POSIXct timestamps.</w:t>
      </w:r>
    </w:p>
    <w:p>
      <w:pPr>
        <w:pStyle w:val="BodyText"/>
      </w:pPr>
      <w:r>
        <w:rPr>
          <w:rStyle w:val="VerbatimChar"/>
        </w:rPr>
        <w:t xml:space="preserve">medicalcoder::comorbidities()</w:t>
      </w:r>
      <w:r>
        <w:t xml:space="preserve"> </w:t>
      </w:r>
      <w:r>
        <w:t xml:space="preserve">returns a data.frame with additional metadata</w:t>
      </w:r>
      <w:r>
        <w:t xml:space="preserve"> </w:t>
      </w:r>
      <w:r>
        <w:t xml:space="preserve">and class consistent with the input. The returned data frame contains the</w:t>
      </w:r>
      <w:r>
        <w:t xml:space="preserve"> </w:t>
      </w:r>
      <w:r>
        <w:rPr>
          <w:rStyle w:val="VerbatimChar"/>
        </w:rPr>
        <w:t xml:space="preserve">id.vars</w:t>
      </w:r>
      <w:r>
        <w:t xml:space="preserve"> </w:t>
      </w:r>
      <w:r>
        <w:t xml:space="preserve">columns and an indicator column for each comorbidity. All returned</w:t>
      </w:r>
      <w:r>
        <w:t xml:space="preserve"> </w:t>
      </w:r>
      <w:r>
        <w:t xml:space="preserve">data.frames include columns</w:t>
      </w:r>
      <w:r>
        <w:t xml:space="preserve"> </w:t>
      </w:r>
      <w:r>
        <w:rPr>
          <w:rStyle w:val="VerbatimChar"/>
        </w:rPr>
        <w:t xml:space="preserve">num_cmrb</w:t>
      </w:r>
      <w:r>
        <w:t xml:space="preserve"> </w:t>
      </w:r>
      <w:r>
        <w:t xml:space="preserve">for the number of comorbidities flagged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id.vars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cmrb_flag</w:t>
      </w:r>
      <w:r>
        <w:t xml:space="preserve">, an indicator column for at least one</w:t>
      </w:r>
      <w:r>
        <w:t xml:space="preserve"> </w:t>
      </w:r>
      <w:r>
        <w:t xml:space="preserve">comorbidity.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provides a S3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method for the returns to</w:t>
      </w:r>
      <w:r>
        <w:t xml:space="preserve"> </w:t>
      </w:r>
      <w:r>
        <w:t xml:space="preserve">generate tables of the counts and percentage of encounters flagged, Table 1.</w:t>
      </w:r>
    </w:p>
    <w:p>
      <w:pPr>
        <w:pStyle w:val="tablecap"/>
      </w:pPr>
      <w:r>
        <w:rPr>
          <w:b/>
          <w:bCs/>
        </w:rPr>
        <w:t xml:space="preserve">Table 1:</w:t>
      </w:r>
      <w:r>
        <w:t xml:space="preserve"> </w:t>
      </w:r>
      <w:r>
        <w:t xml:space="preserve">Counts and percentages of encounters within the MIMIC-IV dataset</w:t>
      </w:r>
      <w:r>
        <w:t xml:space="preserve"> </w:t>
      </w:r>
      <w:r>
        <w:t xml:space="preserve">flagged with Charlson comorbidities via</w:t>
      </w:r>
      <w:r>
        <w:t xml:space="preserve"> </w:t>
      </w:r>
      <w:r>
        <w:rPr>
          <w:rStyle w:val="VerbatimChar"/>
        </w:rPr>
        <w:t xml:space="preserve">medicalcoder::comorbidities()</w:t>
      </w:r>
      <w:r>
        <w:t xml:space="preserve">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Encounters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Condition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AIDS/HIV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malignancy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47,489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37,281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84,715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Dementia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with chronic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without chronic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84,632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Hemiplegia or paraplegia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disease, 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30,359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disease, moderate to 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Metastatic solid tumor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27,943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44,702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Peptic ulcer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38,121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86,101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Rheumatic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Total Conditions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347,609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194,041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40,815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 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</w:tbl>
    <w:p>
      <w:pPr>
        <w:pStyle w:val="BodyText"/>
      </w:pPr>
      <w:r>
        <w:t xml:space="preserve">Flagging of comorbidities at the encounter-level only assumes all relevant ICD</w:t>
      </w:r>
      <w:r>
        <w:t xml:space="preserve"> </w:t>
      </w:r>
      <w:r>
        <w:t xml:space="preserve">codes are reported on all encounters and correctly marked as POA. This is</w:t>
      </w:r>
      <w:r>
        <w:t xml:space="preserve"> </w:t>
      </w:r>
      <w:r>
        <w:t xml:space="preserve">rarely the case. Accumulation of of encounter-level flags is insufficient to</w:t>
      </w:r>
      <w:r>
        <w:t xml:space="preserve"> </w:t>
      </w:r>
      <w:r>
        <w:t xml:space="preserve">capture comorbidities and/or the severity of disease.</w:t>
      </w:r>
    </w:p>
    <w:p>
      <w:pPr>
        <w:pStyle w:val="BodyText"/>
      </w:pPr>
      <w:r>
        <w:t xml:space="preserve">Figure 2 shows the impact on risk profiles for subjects and encounters by</w:t>
      </w:r>
      <w:r>
        <w:t xml:space="preserve"> </w:t>
      </w:r>
      <w:r>
        <w:t xml:space="preserve">flagging method and algorithm. For example,</w:t>
      </w:r>
      <w:r>
        <w:t xml:space="preserve"> </w:t>
      </w:r>
      <w:r>
        <w:t xml:space="preserve">For 92,536 subjects with at least two encounters and at least one Elixhauser</w:t>
      </w:r>
      <w:r>
        <w:t xml:space="preserve"> </w:t>
      </w:r>
      <w:r>
        <w:t xml:space="preserve">comorbidity flagged on encounter 2 via</w:t>
      </w:r>
      <w:r>
        <w:t xml:space="preserve"> </w:t>
      </w:r>
      <w:r>
        <w:rPr>
          <w:rStyle w:val="VerbatimChar"/>
        </w:rPr>
        <w:t xml:space="preserve">flag.method = "cumulative"</w:t>
      </w:r>
      <w:r>
        <w:t xml:space="preserve">,</w:t>
      </w:r>
      <w:r>
        <w:t xml:space="preserve"> </w:t>
      </w:r>
      <w:r>
        <w:t xml:space="preserve">68,085 (73.6%) subjects have at least one encounter with a different risk profile</w:t>
      </w:r>
      <w:r>
        <w:t xml:space="preserve"> </w:t>
      </w:r>
      <w:r>
        <w:t xml:space="preserve">(different classification of comorbidities and/or count of comorbidities) under</w:t>
      </w:r>
      <w:r>
        <w:t xml:space="preserve"> </w:t>
      </w:r>
      <w:r>
        <w:rPr>
          <w:rStyle w:val="VerbatimChar"/>
        </w:rPr>
        <w:t xml:space="preserve">flag.method = "cumulative"</w:t>
      </w:r>
      <w:r>
        <w:t xml:space="preserve"> </w:t>
      </w:r>
      <w:r>
        <w:t xml:space="preserve">compared to</w:t>
      </w:r>
      <w:r>
        <w:t xml:space="preserve"> </w:t>
      </w:r>
      <w:r>
        <w:rPr>
          <w:rStyle w:val="VerbatimChar"/>
        </w:rPr>
        <w:t xml:space="preserve">flag.method = "current"</w:t>
      </w:r>
      <w:r>
        <w:t xml:space="preserve">.</w:t>
      </w:r>
      <w:r>
        <w:t xml:space="preserve"> </w:t>
      </w:r>
      <w:r>
        <w:t xml:space="preserve">10,553 (11.4%) subjects had at least one encouter with zero comorbidities per</w:t>
      </w:r>
      <w:r>
        <w:t xml:space="preserve"> </w:t>
      </w:r>
      <w:r>
        <w:rPr>
          <w:rStyle w:val="VerbatimChar"/>
        </w:rPr>
        <w:t xml:space="preserve">flag.method = "current"</w:t>
      </w:r>
      <w:r>
        <w:t xml:space="preserve"> </w:t>
      </w:r>
      <w:r>
        <w:t xml:space="preserve">and at least one comorbidity with</w:t>
      </w:r>
      <w:r>
        <w:t xml:space="preserve"> </w:t>
      </w:r>
      <w:r>
        <w:rPr>
          <w:rStyle w:val="VerbatimChar"/>
        </w:rPr>
        <w:t xml:space="preserve">flag.method = 'cumulative'</w:t>
      </w:r>
      <w:r>
        <w:t xml:space="preserve">.</w:t>
      </w:r>
    </w:p>
    <w:p>
      <w:pPr>
        <w:pStyle w:val="BodyText"/>
      </w:pPr>
      <w:r>
        <w:t xml:space="preserve">Naïve post hoc accumulation of encounter-level flags can miss conditions. PCCC</w:t>
      </w:r>
      <w:r>
        <w:t xml:space="preserve"> </w:t>
      </w:r>
      <w:r>
        <w:t xml:space="preserve">v3 conditions depend on whether technology-dependent codes co-occur (or</w:t>
      </w:r>
      <w:r>
        <w:t xml:space="preserve"> </w:t>
      </w:r>
      <w:r>
        <w:t xml:space="preserve">eventually co-occur) with non–technology-dependent codes (Table 2). Elixhauser</w:t>
      </w:r>
      <w:r>
        <w:t xml:space="preserve"> </w:t>
      </w:r>
      <w:r>
        <w:t xml:space="preserve">from AHRQ post 2022 account for POA status of ICD codes (example in Supplement.)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flag.method = "cumulative"</w:t>
      </w:r>
      <w:r>
        <w:t xml:space="preserve"> </w:t>
      </w:r>
      <w:r>
        <w:t xml:space="preserve">ensures the algorithm’s longitudinal logic is</w:t>
      </w:r>
      <w:r>
        <w:t xml:space="preserve"> </w:t>
      </w:r>
      <w:r>
        <w:t xml:space="preserve">applied consistently.</w:t>
      </w:r>
    </w:p>
    <w:p>
      <w:pPr>
        <w:pStyle w:val="tablecap"/>
      </w:pPr>
      <w:r>
        <w:rPr>
          <w:b/>
          <w:bCs/>
        </w:rPr>
        <w:t xml:space="preserve">Table 2:</w:t>
      </w:r>
      <w:r>
        <w:t xml:space="preserve"> </w:t>
      </w:r>
      <w:r>
        <w:t xml:space="preserve">Flagging of comorbidities under PCCC v3 for MIMIC-IV subject</w:t>
      </w:r>
      <w:r>
        <w:t xml:space="preserve"> </w:t>
      </w:r>
      <w:r>
        <w:t xml:space="preserve">10728333. Cells marked with DxPr denote that the comorbidity was flagged due to</w:t>
      </w:r>
      <w:r>
        <w:t xml:space="preserve"> </w:t>
      </w:r>
      <w:r>
        <w:t xml:space="preserve">a ICD code that is not technology-dependent. Tech denotes flagging of a</w:t>
      </w:r>
      <w:r>
        <w:t xml:space="preserve"> </w:t>
      </w:r>
      <w:r>
        <w:t xml:space="preserve">comorbidity based on the presence of at least one technology-dependent ICD</w:t>
      </w:r>
      <w:r>
        <w:t xml:space="preserve"> </w:t>
      </w:r>
      <w:r>
        <w:t xml:space="preserve">code and the presence of at least one non-technology-dependent code for</w:t>
      </w:r>
      <w:r>
        <w:t xml:space="preserve"> </w:t>
      </w:r>
      <w:r>
        <w:t xml:space="preserve">another comorbidity. DxPrTech denotes flagging due to both</w:t>
      </w:r>
      <w:r>
        <w:t xml:space="preserve"> </w:t>
      </w:r>
      <w:r>
        <w:t xml:space="preserve">technology-dependent and non-technology-dependent ICD codes. Under the Any</w:t>
      </w:r>
      <w:r>
        <w:t xml:space="preserve"> </w:t>
      </w:r>
      <w:r>
        <w:t xml:space="preserve">Tech columns we mark the encounters where some tech dependence is identified.</w:t>
      </w:r>
      <w:r>
        <w:t xml:space="preserve"> </w:t>
      </w:r>
      <w:r>
        <w:t xml:space="preserve">For this patient, on encounter 1, a technology-dependent ICD code for a</w:t>
      </w:r>
      <w:r>
        <w:t xml:space="preserve"> </w:t>
      </w:r>
      <w:r>
        <w:t xml:space="preserve">respiratory comorbidity was found in the subject’s record. Because no</w:t>
      </w:r>
      <w:r>
        <w:t xml:space="preserve"> </w:t>
      </w:r>
      <w:r>
        <w:t xml:space="preserve">non-technology-dependent code was observed on encounter 1, under PCCC v3 this</w:t>
      </w:r>
      <w:r>
        <w:t xml:space="preserve"> </w:t>
      </w:r>
      <w:r>
        <w:t xml:space="preserve">subject has no comorbidities for encounter 1. This persists for encounters 2</w:t>
      </w:r>
      <w:r>
        <w:t xml:space="preserve"> </w:t>
      </w:r>
      <w:r>
        <w:t xml:space="preserve">and 3 with respect to respiratory and on encounter 3 for miscellaneous as</w:t>
      </w:r>
      <w:r>
        <w:t xml:space="preserve"> </w:t>
      </w:r>
      <w:r>
        <w:t xml:space="preserve">well. On encounter 4 a non-technology-dependent code for a metabolic</w:t>
      </w:r>
      <w:r>
        <w:t xml:space="preserve"> </w:t>
      </w:r>
      <w:r>
        <w:t xml:space="preserve">comorbidity was reported. Under a cumulative flagging paradigm, the</w:t>
      </w:r>
      <w:r>
        <w:t xml:space="preserve"> </w:t>
      </w:r>
      <w:r>
        <w:t xml:space="preserve">miscellaneous and respiratory comorbidities are also flagged as the reported</w:t>
      </w:r>
      <w:r>
        <w:t xml:space="preserve"> </w:t>
      </w:r>
      <w:r>
        <w:t xml:space="preserve">codes from encounters 3 and 1 have been carried forward respectively. Under</w:t>
      </w:r>
      <w:r>
        <w:t xml:space="preserve"> </w:t>
      </w:r>
      <w:r>
        <w:t xml:space="preserve">the</w:t>
      </w:r>
      <w:r>
        <w:t xml:space="preserve"> </w:t>
      </w:r>
      <w:r>
        <w:t xml:space="preserve">‘current’</w:t>
      </w:r>
      <w:r>
        <w:t xml:space="preserve"> </w:t>
      </w:r>
      <w:r>
        <w:t xml:space="preserve">flagging method miscellaneous is never flagged as the</w:t>
      </w:r>
      <w:r>
        <w:t xml:space="preserve"> </w:t>
      </w:r>
      <w:r>
        <w:t xml:space="preserve">technology-dependent code never occurs on the same encounter as the</w:t>
      </w:r>
      <w:r>
        <w:t xml:space="preserve"> </w:t>
      </w:r>
      <w:r>
        <w:t xml:space="preserve">non-technology-dependent code.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Metabolic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Miscellaneous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Respiratory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Any Tech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Comorbidity Count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Encounter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Current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Cumulative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Current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Cumulative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Current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Cumulative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Current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Cumulative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Current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Cumulative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DxPrTech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8pt"/>
              </w:rPr>
              <w:t xml:space="default">3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 A technology-dependent code was reported on this encounter. Since no non-technology-dependent code was reported no comorbidities are flagged.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† A technology-dependent code has been carried forward in the record. Since no non-technology-dependent code was reported on this, or a prior, encounter, no comorbidities are flagged.</w:t>
            </w:r>
          </w:p>
        </w:tc>
      </w:tr>
    </w:tbl>
    <w:p>
      <w:pPr>
        <w:pStyle w:val="BodyText"/>
      </w:pPr>
      <w:r>
        <w:t xml:space="preserve">The supplement includes a detailed exploration of the flags produced by</w:t>
      </w:r>
      <w:r>
        <w:t xml:space="preserve"> </w:t>
      </w:r>
      <w:r>
        <w:rPr>
          <w:rStyle w:val="VerbatimChar"/>
        </w:rPr>
        <w:t xml:space="preserve">medicalcoder::comorbidities()</w:t>
      </w:r>
      <w:r>
        <w:t xml:space="preserve"> </w:t>
      </w:r>
      <w:r>
        <w:t xml:space="preserve">versus the code from MIMIC-IV and the R</w:t>
      </w:r>
      <w:r>
        <w:t xml:space="preserve"> </w:t>
      </w:r>
      <w:r>
        <w:t xml:space="preserve">packages</w:t>
      </w:r>
      <w:r>
        <w:t xml:space="preserve"> </w:t>
      </w:r>
      <w:r>
        <w:rPr>
          <w:i/>
          <w:iCs/>
        </w:rPr>
        <w:t xml:space="preserve">comorbidity</w:t>
      </w:r>
      <w:r>
        <w:t xml:space="preserve"> </w:t>
      </w:r>
      <w:r>
        <w:t xml:space="preserve">[10]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pccc</w:t>
      </w:r>
      <w:r>
        <w:t xml:space="preserve"> </w:t>
      </w:r>
      <w:r>
        <w:t xml:space="preserve">[11]</w:t>
      </w:r>
      <w:r>
        <w:t xml:space="preserve">. The flagging of</w:t>
      </w:r>
      <w:r>
        <w:t xml:space="preserve"> </w:t>
      </w:r>
      <w:r>
        <w:t xml:space="preserve">Charlson comorbidities within the MIMIC-IV v3.1 dataset between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and MIMIC-IV Code are the same. Between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comorbidity</w:t>
      </w:r>
      <w:r>
        <w:t xml:space="preserve"> </w:t>
      </w:r>
      <w:r>
        <w:t xml:space="preserve">we</w:t>
      </w:r>
      <w:r>
        <w:t xml:space="preserve"> </w:t>
      </w:r>
      <w:r>
        <w:t xml:space="preserve">found the same for Elixhauser comorbidities. For Charlson comorbidities we</w:t>
      </w:r>
      <w:r>
        <w:t xml:space="preserve"> </w:t>
      </w:r>
      <w:r>
        <w:t xml:space="preserve">found that the</w:t>
      </w:r>
      <w:r>
        <w:t xml:space="preserve"> </w:t>
      </w:r>
      <w:r>
        <w:rPr>
          <w:i/>
          <w:iCs/>
        </w:rPr>
        <w:t xml:space="preserve">comorbidity</w:t>
      </w:r>
      <w:r>
        <w:t xml:space="preserve"> </w:t>
      </w:r>
      <w:r>
        <w:t xml:space="preserve">package failed to flag malignancies related to</w:t>
      </w:r>
      <w:r>
        <w:t xml:space="preserve"> </w:t>
      </w:r>
      <w:r>
        <w:t xml:space="preserve">ICD-10-CM codes C4A.x. PCCC v2 flagging between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pccc</w:t>
      </w:r>
      <w:r>
        <w:t xml:space="preserve"> </w:t>
      </w:r>
      <w:r>
        <w:t xml:space="preserve">showed several technology-dependent and transplant errors in the mappings within</w:t>
      </w:r>
      <w:r>
        <w:t xml:space="preserve"> </w:t>
      </w:r>
      <w:r>
        <w:rPr>
          <w:i/>
          <w:iCs/>
        </w:rPr>
        <w:t xml:space="preserve">pccc</w:t>
      </w:r>
      <w:r>
        <w:t xml:space="preserve">.</w:t>
      </w:r>
    </w:p>
    <w:p>
      <w:pPr>
        <w:pStyle w:val="BodyText"/>
      </w:pPr>
      <w:r>
        <w:t xml:space="preserve">In addition to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showing consistent, or better, flagging of</w:t>
      </w:r>
      <w:r>
        <w:t xml:space="preserve"> </w:t>
      </w:r>
      <w:r>
        <w:t xml:space="preserve">comorbidities compared to other utilities,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does so with less</w:t>
      </w:r>
      <w:r>
        <w:t xml:space="preserve"> </w:t>
      </w:r>
      <w:r>
        <w:t xml:space="preserve">computational expense, Figure 3. The package GitHub has details on benchmarking</w:t>
      </w:r>
      <w:r>
        <w:t xml:space="preserve"> </w:t>
      </w:r>
      <w:r>
        <w:t xml:space="preserve">by input data class and size.</w:t>
      </w:r>
    </w:p>
    <w:p>
      <w:pPr>
        <w:pStyle w:val="BodyText"/>
      </w:pPr>
      <w:r>
        <w:t xml:space="preserve">In addition to the comorbidity interface,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provides several ICD</w:t>
      </w:r>
      <w:r>
        <w:t xml:space="preserve"> </w:t>
      </w:r>
      <w:r>
        <w:t xml:space="preserve">utility functions designed to support data preparation and validation workflows.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medicalcoder::get_icd_codes()</w:t>
      </w:r>
      <w:r>
        <w:t xml:space="preserve"> </w:t>
      </w:r>
      <w:r>
        <w:t xml:space="preserve">exposes the internal ICD database</w:t>
      </w:r>
      <w:r>
        <w:t xml:space="preserve"> </w:t>
      </w:r>
      <w:r>
        <w:t xml:space="preserve">and allows users to retrieve diagnostic or procedure codes by version, type, and</w:t>
      </w:r>
      <w:r>
        <w:t xml:space="preserve"> </w:t>
      </w:r>
      <w:r>
        <w:t xml:space="preserve">code range. The function</w:t>
      </w:r>
      <w:r>
        <w:t xml:space="preserve"> </w:t>
      </w:r>
      <w:r>
        <w:rPr>
          <w:rStyle w:val="VerbatimChar"/>
        </w:rPr>
        <w:t xml:space="preserve">medicalcoder::is_icd()</w:t>
      </w:r>
      <w:r>
        <w:t xml:space="preserve"> </w:t>
      </w:r>
      <w:r>
        <w:t xml:space="preserve">provides fast validation of</w:t>
      </w:r>
      <w:r>
        <w:t xml:space="preserve"> </w:t>
      </w:r>
      <w:r>
        <w:t xml:space="preserve">candidate ICD codes, supporting both full and compact representations and mixed</w:t>
      </w:r>
      <w:r>
        <w:t xml:space="preserve"> </w:t>
      </w:r>
      <w:r>
        <w:t xml:space="preserve">ICD-9/ICD-10 datasets. These utilities enable users to inspect and verify ICD</w:t>
      </w:r>
      <w:r>
        <w:t xml:space="preserve"> </w:t>
      </w:r>
      <w:r>
        <w:t xml:space="preserve">content prior to comorbidity classification and to construct reproducible code</w:t>
      </w:r>
      <w:r>
        <w:t xml:space="preserve"> </w:t>
      </w:r>
      <w:r>
        <w:t xml:space="preserve">filters directly from the same internal database used by the comorbidity</w:t>
      </w:r>
      <w:r>
        <w:t xml:space="preserve"> </w:t>
      </w:r>
      <w:r>
        <w:t xml:space="preserve">algorithms.</w:t>
      </w:r>
    </w:p>
    <w:bookmarkEnd w:id="19"/>
    <w:bookmarkStart w:id="21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rPr>
          <w:i/>
          <w:iCs/>
        </w:rPr>
        <w:t xml:space="preserve">medicalcoder</w:t>
      </w:r>
      <w:r>
        <w:t xml:space="preserve"> </w:t>
      </w:r>
      <w:r>
        <w:t xml:space="preserve">was initially developed to support implementation of Pediatric</w:t>
      </w:r>
      <w:r>
        <w:t xml:space="preserve"> </w:t>
      </w:r>
      <w:r>
        <w:t xml:space="preserve">Complex Chronic Conditions (PCCC) versions 3</w:t>
      </w:r>
      <w:r>
        <w:t xml:space="preserve"> </w:t>
      </w:r>
      <w:r>
        <w:t xml:space="preserve">[3]</w:t>
      </w:r>
      <w:r>
        <w:t xml:space="preserve"> </w:t>
      </w:r>
      <w:r>
        <w:t xml:space="preserve">and 2</w:t>
      </w:r>
      <w:r>
        <w:t xml:space="preserve"> </w:t>
      </w:r>
      <w:r>
        <w:t xml:space="preserve">[4]</w:t>
      </w:r>
      <w:r>
        <w:t xml:space="preserve">. During this work, it became clear that accurate and</w:t>
      </w:r>
      <w:r>
        <w:t xml:space="preserve"> </w:t>
      </w:r>
      <w:r>
        <w:t xml:space="preserve">reproducible PCCC classification required access to a comprehensive,</w:t>
      </w:r>
      <w:r>
        <w:t xml:space="preserve"> </w:t>
      </w:r>
      <w:r>
        <w:t xml:space="preserve">version-aware ICD database, which was subsequently developed and incorporated</w:t>
      </w:r>
      <w:r>
        <w:t xml:space="preserve"> </w:t>
      </w:r>
      <w:r>
        <w:t xml:space="preserve">into the package. Designing a general framework to support multiple PCCC</w:t>
      </w:r>
      <w:r>
        <w:t xml:space="preserve"> </w:t>
      </w:r>
      <w:r>
        <w:t xml:space="preserve">versions naturally enabled extension to additional comorbidity algorithms,</w:t>
      </w:r>
      <w:r>
        <w:t xml:space="preserve"> </w:t>
      </w:r>
      <w:r>
        <w:t xml:space="preserve">including Charlson and Elixhauser.</w:t>
      </w:r>
    </w:p>
    <w:p>
      <w:pPr>
        <w:pStyle w:val="BodyText"/>
      </w:pPr>
      <w:r>
        <w:t xml:space="preserve">A primary design requirement was that the package be fully self-contained and</w:t>
      </w:r>
      <w:r>
        <w:t xml:space="preserve"> </w:t>
      </w:r>
      <w:r>
        <w:t xml:space="preserve">deployable in restricted computing environments, including systems with limited</w:t>
      </w:r>
      <w:r>
        <w:t xml:space="preserve"> </w:t>
      </w:r>
      <w:r>
        <w:t xml:space="preserve">internet access and/or tightly controlled software installations. Relying only</w:t>
      </w:r>
      <w:r>
        <w:t xml:space="preserve"> </w:t>
      </w:r>
      <w:r>
        <w:t xml:space="preserve">on base R ensures that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can be installed and used wherever R ≥ 3.5.0</w:t>
      </w:r>
      <w:r>
        <w:t xml:space="preserve"> </w:t>
      </w:r>
      <w:r>
        <w:t xml:space="preserve">is available. Additionally, R versions and namespace dependency trees are</w:t>
      </w:r>
      <w:r>
        <w:t xml:space="preserve"> </w:t>
      </w:r>
      <w:r>
        <w:t xml:space="preserve">common barriers to reproducible research.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, with no additional</w:t>
      </w:r>
      <w:r>
        <w:t xml:space="preserve"> </w:t>
      </w:r>
      <w:r>
        <w:t xml:space="preserve">namespace requirements, avoids dependency version conflicts that often undermine</w:t>
      </w:r>
      <w:r>
        <w:t xml:space="preserve"> </w:t>
      </w:r>
      <w:r>
        <w:t xml:space="preserve">reproducibility, addressing a common but under-discussed barrier to reproducible</w:t>
      </w:r>
      <w:r>
        <w:t xml:space="preserve"> </w:t>
      </w:r>
      <w:r>
        <w:t xml:space="preserve">clinical research.</w:t>
      </w:r>
    </w:p>
    <w:p>
      <w:pPr>
        <w:pStyle w:val="BodyText"/>
      </w:pPr>
      <w:r>
        <w:t xml:space="preserve">Beyond deployment considerations,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addresses a substantive</w:t>
      </w:r>
      <w:r>
        <w:t xml:space="preserve"> </w:t>
      </w:r>
      <w:r>
        <w:t xml:space="preserve">methodological gap in existing comorbidity software: the lack of support for</w:t>
      </w:r>
      <w:r>
        <w:t xml:space="preserve"> </w:t>
      </w:r>
      <w:r>
        <w:t xml:space="preserve">longitudinal comorbidity assessment. Most available implementations operate</w:t>
      </w:r>
      <w:r>
        <w:t xml:space="preserve"> </w:t>
      </w:r>
      <w:r>
        <w:t xml:space="preserve">strictly at the encounter level, implicitly assuming that comorbid conditions</w:t>
      </w:r>
      <w:r>
        <w:t xml:space="preserve"> </w:t>
      </w:r>
      <w:r>
        <w:t xml:space="preserve">are either repeatedly coded or clinically irrelevant once absent from the</w:t>
      </w:r>
      <w:r>
        <w:t xml:space="preserve"> </w:t>
      </w:r>
      <w:r>
        <w:t xml:space="preserve">current record. As demonstrated in Table 2, this assumption can lead to</w:t>
      </w:r>
      <w:r>
        <w:t xml:space="preserve"> </w:t>
      </w:r>
      <w:r>
        <w:t xml:space="preserve">systematic under-ascertainment of comorbidities, particularly for conditions</w:t>
      </w:r>
      <w:r>
        <w:t xml:space="preserve"> </w:t>
      </w:r>
      <w:r>
        <w:t xml:space="preserve">governed by POA rules or technology-dependent classification criteria. By</w:t>
      </w:r>
      <w:r>
        <w:t xml:space="preserve"> </w:t>
      </w:r>
      <w:r>
        <w:t xml:space="preserve">explicitly tracking diagnostic history across encounters,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enables</w:t>
      </w:r>
      <w:r>
        <w:t xml:space="preserve"> </w:t>
      </w:r>
      <w:r>
        <w:t xml:space="preserve">comorbidity flagging that more closely reflects clinical reality.</w:t>
      </w:r>
    </w:p>
    <w:p>
      <w:pPr>
        <w:pStyle w:val="BodyText"/>
      </w:pPr>
      <w:r>
        <w:t xml:space="preserve">The unified interface provided by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further reduces analytic</w:t>
      </w:r>
      <w:r>
        <w:t xml:space="preserve"> </w:t>
      </w:r>
      <w:r>
        <w:t xml:space="preserve">complexity. Mixed ICD-9 and ICD-10 datasets, full and compact codes, diagnostic</w:t>
      </w:r>
      <w:r>
        <w:t xml:space="preserve"> </w:t>
      </w:r>
      <w:r>
        <w:t xml:space="preserve">and procedure codes, and algorithm-specific nuances are handled within a single</w:t>
      </w:r>
      <w:r>
        <w:t xml:space="preserve"> </w:t>
      </w:r>
      <w:r>
        <w:t xml:space="preserve">function call. This contrasts with existing workflows that require dataset</w:t>
      </w:r>
      <w:r>
        <w:t xml:space="preserve"> </w:t>
      </w:r>
      <w:r>
        <w:t xml:space="preserve">partitioning, multiple method calls, and post hoc reconciliation, each of which</w:t>
      </w:r>
      <w:r>
        <w:t xml:space="preserve"> </w:t>
      </w:r>
      <w:r>
        <w:t xml:space="preserve">introduces opportunities for error and irreproducibility.</w:t>
      </w:r>
    </w:p>
    <w:p>
      <w:pPr>
        <w:pStyle w:val="BodyText"/>
      </w:pPr>
      <w:r>
        <w:t xml:space="preserve">Although the primary focus of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is comorbidity classification, the</w:t>
      </w:r>
      <w:r>
        <w:t xml:space="preserve"> </w:t>
      </w:r>
      <w:r>
        <w:t xml:space="preserve">included ICD utility functions also address a common practical challenge in</w:t>
      </w:r>
      <w:r>
        <w:t xml:space="preserve"> </w:t>
      </w:r>
      <w:r>
        <w:t xml:space="preserve">working with administrative and electronic health record data: verifying and</w:t>
      </w:r>
      <w:r>
        <w:t xml:space="preserve"> </w:t>
      </w:r>
      <w:r>
        <w:t xml:space="preserve">manipulating large collections of ICD codes. By exposing the internal ICD</w:t>
      </w:r>
      <w:r>
        <w:t xml:space="preserve"> </w:t>
      </w:r>
      <w:r>
        <w:t xml:space="preserve">database through functions such as get_icd_codes() and providing validation via</w:t>
      </w:r>
      <w:r>
        <w:t xml:space="preserve"> </w:t>
      </w:r>
      <w:r>
        <w:t xml:space="preserve">is_icd(),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allows analysts to perform exploratory and preprocessing</w:t>
      </w:r>
      <w:r>
        <w:t xml:space="preserve"> </w:t>
      </w:r>
      <w:r>
        <w:t xml:space="preserve">tasks using the same reference data employed by the comorbidity algorithms. This</w:t>
      </w:r>
      <w:r>
        <w:t xml:space="preserve"> </w:t>
      </w:r>
      <w:r>
        <w:t xml:space="preserve">reduces reliance on ad hoc code lists and external reference tables, improving</w:t>
      </w:r>
      <w:r>
        <w:t xml:space="preserve"> </w:t>
      </w:r>
      <w:r>
        <w:t xml:space="preserve">transparency and reproducibility when defining cohorts or filtering diagnosis</w:t>
      </w:r>
      <w:r>
        <w:t xml:space="preserve"> </w:t>
      </w:r>
      <w:r>
        <w:t xml:space="preserve">and procedure codes in large clinical datasets.</w:t>
      </w:r>
    </w:p>
    <w:p>
      <w:pPr>
        <w:pStyle w:val="BodyText"/>
      </w:pPr>
      <w:r>
        <w:t xml:space="preserve">Extensive testing against published SAS, SQL, and R reference implementations</w:t>
      </w:r>
      <w:r>
        <w:t xml:space="preserve"> </w:t>
      </w:r>
      <w:r>
        <w:t xml:space="preserve">demonstrates that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produces results consistent with established</w:t>
      </w:r>
      <w:r>
        <w:t xml:space="preserve"> </w:t>
      </w:r>
      <w:r>
        <w:t xml:space="preserve">algorithms while offering additional flexibility. Automated testing of the</w:t>
      </w:r>
      <w:r>
        <w:t xml:space="preserve"> </w:t>
      </w:r>
      <w:r>
        <w:t xml:space="preserve">internal and user-facing functions (97% code lines covered as of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v0.8.0) ensures consistent and reliable behavior of the package.</w:t>
      </w:r>
    </w:p>
    <w:p>
      <w:pPr>
        <w:pStyle w:val="BodyText"/>
      </w:pPr>
      <w:r>
        <w:t xml:space="preserve">To our knowledge, no currently available R package jointly supports multiple</w:t>
      </w:r>
      <w:r>
        <w:t xml:space="preserve"> </w:t>
      </w:r>
      <w:r>
        <w:t xml:space="preserve">comorbidity algorithms, mixed ICD versions, present-on-admission logic, and</w:t>
      </w:r>
      <w:r>
        <w:t xml:space="preserve"> </w:t>
      </w:r>
      <w:r>
        <w:t xml:space="preserve">cumulative longitudinal flagging within a single, reproducible framework.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has these capabilities and enables researchers to accurately</w:t>
      </w:r>
      <w:r>
        <w:t xml:space="preserve"> </w:t>
      </w:r>
      <w:r>
        <w:t xml:space="preserve">characterize patient complexity and to systematically evaluate how different</w:t>
      </w:r>
      <w:r>
        <w:t xml:space="preserve"> </w:t>
      </w:r>
      <w:r>
        <w:t xml:space="preserve">comorbidity definitions influence analytic results.</w:t>
      </w:r>
    </w:p>
    <w:bookmarkStart w:id="20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rPr>
          <w:i/>
          <w:iCs/>
        </w:rPr>
        <w:t xml:space="preserve">medicalcoder</w:t>
      </w:r>
      <w:r>
        <w:t xml:space="preserve"> </w:t>
      </w:r>
      <w:r>
        <w:t xml:space="preserve">is a fully self-contained R package with a detailed and robust</w:t>
      </w:r>
      <w:r>
        <w:t xml:space="preserve"> </w:t>
      </w:r>
      <w:r>
        <w:t xml:space="preserve">internal ICD database that can efficiently apply many comorbidity algorithms to</w:t>
      </w:r>
      <w:r>
        <w:t xml:space="preserve"> </w:t>
      </w:r>
      <w:r>
        <w:t xml:space="preserve">a dataset while accounting for ICD-version, ICD-type, POA, primary diagnosis,</w:t>
      </w:r>
      <w:r>
        <w:t xml:space="preserve"> </w:t>
      </w:r>
      <w:r>
        <w:t xml:space="preserve">and full and compact ICD codes. Flagging codes can be done for individual</w:t>
      </w:r>
      <w:r>
        <w:t xml:space="preserve"> </w:t>
      </w:r>
      <w:r>
        <w:t xml:space="preserve">patient/encounters, or longitudinally within a patient record.</w:t>
      </w:r>
    </w:p>
    <w:p>
      <w:r>
        <w:br w:type="page"/>
      </w:r>
    </w:p>
    <w:p>
      <w:pPr>
        <w:pStyle w:val="BodyText"/>
      </w:pPr>
      <w:r>
        <w:rPr>
          <w:b/>
          <w:bCs/>
          <w:u w:val="single"/>
        </w:rPr>
        <w:t xml:space="preserve">Competing Interests Statement: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  <w:u w:val="single"/>
        </w:rPr>
        <w:t xml:space="preserve">Data Availability Statement: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R package is available from the Comprehensive R Archive Network</w:t>
      </w:r>
      <w:r>
        <w:t xml:space="preserve"> </w:t>
      </w:r>
      <w:r>
        <w:t xml:space="preserve">(CRAN) at https://cran.r-project.org/package=medicalcoder. Developmental</w:t>
      </w:r>
      <w:r>
        <w:t xml:space="preserve"> </w:t>
      </w:r>
      <w:r>
        <w:t xml:space="preserve">versions, additional testing suites, benchmarking, and examples are on GitHub at</w:t>
      </w:r>
      <w:r>
        <w:t xml:space="preserve"> </w:t>
      </w:r>
      <w:r>
        <w:t xml:space="preserve">https://github.com/dewittpe/medicalcoder/.</w:t>
      </w:r>
    </w:p>
    <w:p>
      <w:pPr>
        <w:pStyle w:val="BodyText"/>
      </w:pPr>
      <w:r>
        <w:t xml:space="preserve">The MIMIC-IV v3.1 data is available from PhysioNet at</w:t>
      </w:r>
      <w:r>
        <w:t xml:space="preserve"> </w:t>
      </w:r>
      <w:r>
        <w:t xml:space="preserve">https://physionet.org/content/mimiciv/3.1/.</w:t>
      </w:r>
    </w:p>
    <w:p>
      <w:pPr>
        <w:pStyle w:val="BodyText"/>
      </w:pPr>
      <w:r>
        <w:t xml:space="preserve">This manuscript was written using Quarto version</w:t>
      </w:r>
      <w:r>
        <w:t xml:space="preserve"> </w:t>
      </w:r>
      <w:r>
        <w:t xml:space="preserve">1.9.35</w:t>
      </w:r>
      <w:r>
        <w:t xml:space="preserve"> </w:t>
      </w:r>
      <w:r>
        <w:t xml:space="preserve">(https://quarto.org/) and R version 4.5.2 (2025-10-31). All R code, materials,</w:t>
      </w:r>
      <w:r>
        <w:t xml:space="preserve"> </w:t>
      </w:r>
      <w:r>
        <w:t xml:space="preserve">and dependencies can be found at</w:t>
      </w:r>
      <w:r>
        <w:t xml:space="preserve"> </w:t>
      </w:r>
      <w:r>
        <w:t xml:space="preserve">https://github.com/dewittpe/medicalcoder-jamiaopen/.</w:t>
      </w:r>
    </w:p>
    <w:p>
      <w:pPr>
        <w:pStyle w:val="BodyText"/>
      </w:pPr>
      <w:r>
        <w:rPr>
          <w:b/>
          <w:bCs/>
          <w:u w:val="single"/>
        </w:rPr>
        <w:t xml:space="preserve">Contributorship Statement:</w:t>
      </w:r>
      <w:r>
        <w:t xml:space="preserve"> </w:t>
      </w:r>
      <w:r>
        <w:t xml:space="preserve">PED designed and developed the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R package and drafted the manuscript. SR provided critical code</w:t>
      </w:r>
      <w:r>
        <w:t xml:space="preserve"> </w:t>
      </w:r>
      <w:r>
        <w:t xml:space="preserve">review and testing. SR, MR, and TDB all contributed to the conception, design,</w:t>
      </w:r>
      <w:r>
        <w:t xml:space="preserve"> </w:t>
      </w:r>
      <w:r>
        <w:t xml:space="preserve">and interpretation and provided important feedback. TDB provided funding. All</w:t>
      </w:r>
      <w:r>
        <w:t xml:space="preserve"> </w:t>
      </w:r>
      <w:r>
        <w:t xml:space="preserve">authors critically reviewed the manuscript for important intellectual content</w:t>
      </w:r>
      <w:r>
        <w:t xml:space="preserve"> </w:t>
      </w:r>
      <w:r>
        <w:t xml:space="preserve">and approved of the final version of the manuscript.</w:t>
      </w:r>
    </w:p>
    <w:p>
      <w:pPr>
        <w:pStyle w:val="BodyText"/>
      </w:pPr>
      <w:r>
        <w:rPr>
          <w:b/>
          <w:bCs/>
          <w:u w:val="single"/>
        </w:rPr>
        <w:t xml:space="preserve">Acknowledgments:</w:t>
      </w:r>
      <w:r>
        <w:t xml:space="preserve"> </w:t>
      </w:r>
      <w:r>
        <w:t xml:space="preserve">We thank Vincent Rubinetti for his assistance</w:t>
      </w:r>
      <w:r>
        <w:t xml:space="preserve"> </w:t>
      </w:r>
      <w:r>
        <w:t xml:space="preserve">in designing the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logo.</w:t>
      </w:r>
    </w:p>
    <w:p>
      <w:r>
        <w:br w:type="page"/>
      </w:r>
    </w:p>
    <w:bookmarkEnd w:id="20"/>
    <w:bookmarkEnd w:id="21"/>
    <w:bookmarkStart w:id="59" w:name="references"/>
    <w:p>
      <w:pPr>
        <w:pStyle w:val="Heading1"/>
      </w:pPr>
      <w:r>
        <w:t xml:space="preserve">References</w:t>
      </w:r>
    </w:p>
    <w:bookmarkStart w:id="58" w:name="refs"/>
    <w:bookmarkStart w:id="23" w:name="ref-quan2005"/>
    <w:p>
      <w:pPr>
        <w:pStyle w:val="Bibliography"/>
      </w:pPr>
      <w:r>
        <w:t xml:space="preserve">1</w:t>
      </w:r>
      <w:r>
        <w:t xml:space="preserve"> </w:t>
      </w:r>
      <w:r>
        <w:t xml:space="preserve">	</w:t>
      </w:r>
      <w:r>
        <w:t xml:space="preserve">Quan H, Sundararajan V, Halfon P,</w:t>
      </w:r>
      <w:r>
        <w:t xml:space="preserve"> </w:t>
      </w:r>
      <w:r>
        <w:rPr>
          <w:i/>
          <w:iCs/>
        </w:rPr>
        <w:t xml:space="preserve">et al.</w:t>
      </w:r>
      <w:r>
        <w:t xml:space="preserve"> Coding algorithms for defining comorbidities in ICD-9-CM and ICD-10 administrative data.</w:t>
      </w:r>
      <w:r>
        <w:t xml:space="preserve"> </w:t>
      </w:r>
      <w:r>
        <w:rPr>
          <w:i/>
          <w:iCs/>
        </w:rPr>
        <w:t xml:space="preserve">Medical Care</w:t>
      </w:r>
      <w:r>
        <w:t xml:space="preserve">. 2005;43:1130–9. doi:</w:t>
      </w:r>
      <w:r>
        <w:t xml:space="preserve"> </w:t>
      </w:r>
      <w:hyperlink r:id="rId22">
        <w:r>
          <w:rPr>
            <w:rStyle w:val="Hyperlink"/>
          </w:rPr>
          <w:t xml:space="preserve">10.1097/01.mlr.0000182534.19832.83</w:t>
        </w:r>
      </w:hyperlink>
    </w:p>
    <w:bookmarkEnd w:id="23"/>
    <w:bookmarkStart w:id="25" w:name="ref-quan2011"/>
    <w:p>
      <w:pPr>
        <w:pStyle w:val="Bibliography"/>
      </w:pPr>
      <w:r>
        <w:t xml:space="preserve">2</w:t>
      </w:r>
      <w:r>
        <w:t xml:space="preserve"> </w:t>
      </w:r>
      <w:r>
        <w:t xml:space="preserve">	</w:t>
      </w:r>
      <w:r>
        <w:t xml:space="preserve">Quan H, Li B, Couris CM,</w:t>
      </w:r>
      <w:r>
        <w:t xml:space="preserve"> </w:t>
      </w:r>
      <w:r>
        <w:rPr>
          <w:i/>
          <w:iCs/>
        </w:rPr>
        <w:t xml:space="preserve">et al.</w:t>
      </w:r>
      <w:r>
        <w:t xml:space="preserve"> Updating and validating the charlson comorbidity index and score for risk adjustment in hospital discharge abstracts using data from 6 countries.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. 2011;173:676–82. doi:</w:t>
      </w:r>
      <w:r>
        <w:t xml:space="preserve"> </w:t>
      </w:r>
      <w:hyperlink r:id="rId24">
        <w:r>
          <w:rPr>
            <w:rStyle w:val="Hyperlink"/>
          </w:rPr>
          <w:t xml:space="preserve">10.1093/aje/kwq433</w:t>
        </w:r>
      </w:hyperlink>
    </w:p>
    <w:bookmarkEnd w:id="25"/>
    <w:bookmarkStart w:id="27" w:name="ref-feinstein2024pediatric"/>
    <w:p>
      <w:pPr>
        <w:pStyle w:val="Bibliography"/>
      </w:pPr>
      <w:r>
        <w:t xml:space="preserve">3</w:t>
      </w:r>
      <w:r>
        <w:t xml:space="preserve"> </w:t>
      </w:r>
      <w:r>
        <w:t xml:space="preserve">	</w:t>
      </w:r>
      <w:r>
        <w:t xml:space="preserve">Feinstein JA, Hall M, Davidson A,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26">
        <w:r>
          <w:rPr>
            <w:rStyle w:val="Hyperlink"/>
          </w:rPr>
          <w:t xml:space="preserve">Pediatric complex chronic condition system version 3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. 2024;7:e2420579–9.</w:t>
      </w:r>
    </w:p>
    <w:bookmarkEnd w:id="27"/>
    <w:bookmarkStart w:id="29" w:name="ref-feudtner2014pediatric"/>
    <w:p>
      <w:pPr>
        <w:pStyle w:val="Bibliography"/>
      </w:pPr>
      <w:r>
        <w:t xml:space="preserve">4</w:t>
      </w:r>
      <w:r>
        <w:t xml:space="preserve"> </w:t>
      </w:r>
      <w:r>
        <w:t xml:space="preserve">	</w:t>
      </w:r>
      <w:r>
        <w:t xml:space="preserve">Feudtner C, Feinstein JA, Zhong W,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28">
        <w:r>
          <w:rPr>
            <w:rStyle w:val="Hyperlink"/>
          </w:rPr>
          <w:t xml:space="preserve">Pediatric complex chronic conditions classification system version 2: Updated for ICD-10 and complex medical technology dependence and transplantation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pediatrics</w:t>
      </w:r>
      <w:r>
        <w:t xml:space="preserve">. 2014;14:1–7.</w:t>
      </w:r>
    </w:p>
    <w:bookmarkEnd w:id="29"/>
    <w:bookmarkStart w:id="31" w:name="ref-ahrq2025"/>
    <w:p>
      <w:pPr>
        <w:pStyle w:val="Bibliography"/>
      </w:pPr>
      <w:r>
        <w:t xml:space="preserve">5</w:t>
      </w:r>
      <w:r>
        <w:t xml:space="preserve"> </w:t>
      </w:r>
      <w:r>
        <w:t xml:space="preserve">	</w:t>
      </w:r>
      <w:r>
        <w:t xml:space="preserve">Healthcare Research A for, (AHRQ) Q.</w:t>
      </w:r>
      <w:r>
        <w:t xml:space="preserve"> </w:t>
      </w:r>
      <w:hyperlink r:id="rId30">
        <w:r>
          <w:rPr>
            <w:rStyle w:val="Hyperlink"/>
          </w:rPr>
          <w:t xml:space="preserve">Elixhauser comorbidity software refined for ICD-10-CM healthcare cost and utilization project (HCUP)</w:t>
        </w:r>
      </w:hyperlink>
      <w:r>
        <w:t xml:space="preserve">. 2025.</w:t>
      </w:r>
    </w:p>
    <w:bookmarkEnd w:id="31"/>
    <w:bookmarkStart w:id="33" w:name="ref-glasheen2019"/>
    <w:p>
      <w:pPr>
        <w:pStyle w:val="Bibliography"/>
      </w:pPr>
      <w:r>
        <w:t xml:space="preserve">6</w:t>
      </w:r>
      <w:r>
        <w:t xml:space="preserve"> </w:t>
      </w:r>
      <w:r>
        <w:t xml:space="preserve">	</w:t>
      </w:r>
      <w:r>
        <w:t xml:space="preserve">Glasheen WP, Cordier T, Gumpina R,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32">
        <w:r>
          <w:rPr>
            <w:rStyle w:val="Hyperlink"/>
          </w:rPr>
          <w:t xml:space="preserve">Charlson comorbidity index: ICD-9 update and ICD-10 translation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health &amp; drug benefits</w:t>
      </w:r>
      <w:r>
        <w:t xml:space="preserve">. 2019;12:188.</w:t>
      </w:r>
    </w:p>
    <w:bookmarkEnd w:id="33"/>
    <w:bookmarkStart w:id="34" w:name="ref-yurkovich2015systematic"/>
    <w:p>
      <w:pPr>
        <w:pStyle w:val="Bibliography"/>
      </w:pPr>
      <w:r>
        <w:t xml:space="preserve">7</w:t>
      </w:r>
      <w:r>
        <w:t xml:space="preserve"> </w:t>
      </w:r>
      <w:r>
        <w:t xml:space="preserve">	</w:t>
      </w:r>
      <w:r>
        <w:t xml:space="preserve">Yurkovich M, Avina-Zubieta JA, Thomas J,</w:t>
      </w:r>
      <w:r>
        <w:t xml:space="preserve"> </w:t>
      </w:r>
      <w:r>
        <w:rPr>
          <w:i/>
          <w:iCs/>
        </w:rPr>
        <w:t xml:space="preserve">et al.</w:t>
      </w:r>
      <w:r>
        <w:t xml:space="preserve"> A systematic review identifies valid comorbidity indices derived from administrative health data.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. 2015;68:3–14.</w:t>
      </w:r>
    </w:p>
    <w:bookmarkEnd w:id="34"/>
    <w:bookmarkStart w:id="35" w:name="ref-guo2022evaluation"/>
    <w:p>
      <w:pPr>
        <w:pStyle w:val="Bibliography"/>
      </w:pPr>
      <w:r>
        <w:t xml:space="preserve">8</w:t>
      </w:r>
      <w:r>
        <w:t xml:space="preserve"> </w:t>
      </w:r>
      <w:r>
        <w:t xml:space="preserve">	</w:t>
      </w:r>
      <w:r>
        <w:t xml:space="preserve">Guo Ie H, Tang C-H, Sheu M-L,</w:t>
      </w:r>
      <w:r>
        <w:t xml:space="preserve"> </w:t>
      </w:r>
      <w:r>
        <w:rPr>
          <w:i/>
          <w:iCs/>
        </w:rPr>
        <w:t xml:space="preserve">et al.</w:t>
      </w:r>
      <w:r>
        <w:t xml:space="preserve"> Evaluation of risk adjustment performance of diagnosis-based and medication-based comorbidity indices in patients with chronic obstructive pulmonary disease.</w:t>
      </w:r>
      <w:r>
        <w:t xml:space="preserve"> </w:t>
      </w:r>
      <w:r>
        <w:rPr>
          <w:i/>
          <w:iCs/>
        </w:rPr>
        <w:t xml:space="preserve">Plos one</w:t>
      </w:r>
      <w:r>
        <w:t xml:space="preserve">. 2022;17:e0270468.</w:t>
      </w:r>
    </w:p>
    <w:bookmarkEnd w:id="35"/>
    <w:bookmarkStart w:id="36" w:name="ref-li2008risk"/>
    <w:p>
      <w:pPr>
        <w:pStyle w:val="Bibliography"/>
      </w:pPr>
      <w:r>
        <w:t xml:space="preserve">9</w:t>
      </w:r>
      <w:r>
        <w:t xml:space="preserve"> </w:t>
      </w:r>
      <w:r>
        <w:t xml:space="preserve">	</w:t>
      </w:r>
      <w:r>
        <w:t xml:space="preserve">Li B, Evans D, Faris P,</w:t>
      </w:r>
      <w:r>
        <w:t xml:space="preserve"> </w:t>
      </w:r>
      <w:r>
        <w:rPr>
          <w:i/>
          <w:iCs/>
        </w:rPr>
        <w:t xml:space="preserve">et al.</w:t>
      </w:r>
      <w:r>
        <w:t xml:space="preserve"> Risk adjustment performance of charlson and elixhauser comorbidities in ICD-9 and ICD-10 administrative databases.</w:t>
      </w:r>
      <w:r>
        <w:t xml:space="preserve"> </w:t>
      </w:r>
      <w:r>
        <w:rPr>
          <w:i/>
          <w:iCs/>
        </w:rPr>
        <w:t xml:space="preserve">BMC health services research</w:t>
      </w:r>
      <w:r>
        <w:t xml:space="preserve">. 2008;8:12.</w:t>
      </w:r>
    </w:p>
    <w:bookmarkEnd w:id="36"/>
    <w:bookmarkStart w:id="38" w:name="ref-r-comorbidity"/>
    <w:p>
      <w:pPr>
        <w:pStyle w:val="Bibliography"/>
      </w:pPr>
      <w:r>
        <w:t xml:space="preserve">10</w:t>
      </w:r>
      <w:r>
        <w:t xml:space="preserve"> </w:t>
      </w:r>
      <w:r>
        <w:t xml:space="preserve">	</w:t>
      </w:r>
      <w:r>
        <w:t xml:space="preserve">Gasparini A. Comorbidity: An r package for computing comorbidity scores.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. 2018;3:648. doi:</w:t>
      </w:r>
      <w:r>
        <w:t xml:space="preserve"> </w:t>
      </w:r>
      <w:hyperlink r:id="rId37">
        <w:r>
          <w:rPr>
            <w:rStyle w:val="Hyperlink"/>
          </w:rPr>
          <w:t xml:space="preserve">10.21105/joss.00648</w:t>
        </w:r>
      </w:hyperlink>
    </w:p>
    <w:bookmarkEnd w:id="38"/>
    <w:bookmarkStart w:id="40" w:name="ref-r-pccc"/>
    <w:p>
      <w:pPr>
        <w:pStyle w:val="Bibliography"/>
      </w:pPr>
      <w:r>
        <w:t xml:space="preserve">11</w:t>
      </w:r>
      <w:r>
        <w:t xml:space="preserve"> </w:t>
      </w:r>
      <w:r>
        <w:t xml:space="preserve">	</w:t>
      </w:r>
      <w:r>
        <w:t xml:space="preserve">DeWitt P, Feinstein J, Russell S.</w:t>
      </w:r>
      <w:r>
        <w:t xml:space="preserve"> </w:t>
      </w:r>
      <w:hyperlink r:id="rId39">
        <w:r>
          <w:rPr>
            <w:rStyle w:val="Hyperlink"/>
            <w:i/>
            <w:iCs/>
          </w:rPr>
          <w:t xml:space="preserve">Pccc: Pediatric complex chronic conditions</w:t>
        </w:r>
      </w:hyperlink>
      <w:r>
        <w:t xml:space="preserve">. 2025.</w:t>
      </w:r>
    </w:p>
    <w:bookmarkEnd w:id="40"/>
    <w:bookmarkStart w:id="41" w:name="ref-pcccv3sas"/>
    <w:p>
      <w:pPr>
        <w:pStyle w:val="Bibliography"/>
      </w:pPr>
      <w:r>
        <w:t xml:space="preserve">12</w:t>
      </w:r>
      <w:r>
        <w:t xml:space="preserve"> </w:t>
      </w:r>
      <w:r>
        <w:t xml:space="preserve">	</w:t>
      </w:r>
      <w:r>
        <w:t xml:space="preserve">Complex chronic conditions version 3.0. 2024.</w:t>
      </w:r>
    </w:p>
    <w:bookmarkEnd w:id="41"/>
    <w:bookmarkStart w:id="43" w:name="ref-r-icdcomorbid"/>
    <w:p>
      <w:pPr>
        <w:pStyle w:val="Bibliography"/>
      </w:pPr>
      <w:r>
        <w:t xml:space="preserve">13</w:t>
      </w:r>
      <w:r>
        <w:t xml:space="preserve"> </w:t>
      </w:r>
      <w:r>
        <w:t xml:space="preserve">	</w:t>
      </w:r>
      <w:r>
        <w:t xml:space="preserve">Nguyen A, Lee S.</w:t>
      </w:r>
      <w:r>
        <w:t xml:space="preserve"> </w:t>
      </w:r>
      <w:hyperlink r:id="rId42">
        <w:r>
          <w:rPr>
            <w:rStyle w:val="Hyperlink"/>
            <w:i/>
            <w:iCs/>
          </w:rPr>
          <w:t xml:space="preserve">Icdcomorbid: Mapping ICD codes to comorbidity</w:t>
        </w:r>
      </w:hyperlink>
      <w:r>
        <w:t xml:space="preserve">. 2024.</w:t>
      </w:r>
    </w:p>
    <w:bookmarkEnd w:id="43"/>
    <w:bookmarkStart w:id="45" w:name="ref-r-multimorbidity"/>
    <w:p>
      <w:pPr>
        <w:pStyle w:val="Bibliography"/>
      </w:pPr>
      <w:r>
        <w:t xml:space="preserve">14</w:t>
      </w:r>
      <w:r>
        <w:t xml:space="preserve"> </w:t>
      </w:r>
      <w:r>
        <w:t xml:space="preserve">	</w:t>
      </w:r>
      <w:r>
        <w:t xml:space="preserve">Bensken W.</w:t>
      </w:r>
      <w:r>
        <w:t xml:space="preserve"> </w:t>
      </w:r>
      <w:hyperlink r:id="rId44">
        <w:r>
          <w:rPr>
            <w:rStyle w:val="Hyperlink"/>
            <w:i/>
            <w:iCs/>
          </w:rPr>
          <w:t xml:space="preserve">Multimorbidity: Harmonizing various comorbidity, multimorbidity, and frailty measures</w:t>
        </w:r>
      </w:hyperlink>
      <w:r>
        <w:t xml:space="preserve">. 2023.</w:t>
      </w:r>
    </w:p>
    <w:bookmarkEnd w:id="45"/>
    <w:bookmarkStart w:id="47" w:name="ref-r-data.table"/>
    <w:p>
      <w:pPr>
        <w:pStyle w:val="Bibliography"/>
      </w:pPr>
      <w:r>
        <w:t xml:space="preserve">15</w:t>
      </w:r>
      <w:r>
        <w:t xml:space="preserve"> </w:t>
      </w:r>
      <w:r>
        <w:t xml:space="preserve">	</w:t>
      </w:r>
      <w:r>
        <w:t xml:space="preserve">Barrett T, Dowle M, Srinivasan A,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6">
        <w:r>
          <w:rPr>
            <w:rStyle w:val="Hyperlink"/>
            <w:i/>
            <w:iCs/>
          </w:rPr>
          <w:t xml:space="preserve">Data.table: Extension of ‘data.frame‘</w:t>
        </w:r>
      </w:hyperlink>
      <w:r>
        <w:t xml:space="preserve">. 2025.</w:t>
      </w:r>
    </w:p>
    <w:bookmarkEnd w:id="47"/>
    <w:bookmarkStart w:id="49" w:name="ref-r-dplyr"/>
    <w:p>
      <w:pPr>
        <w:pStyle w:val="Bibliography"/>
      </w:pPr>
      <w:r>
        <w:t xml:space="preserve">16</w:t>
      </w:r>
      <w:r>
        <w:t xml:space="preserve"> </w:t>
      </w:r>
      <w:r>
        <w:t xml:space="preserve">	</w:t>
      </w:r>
      <w:r>
        <w:t xml:space="preserve">Wickham H, François R, Henry L,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8">
        <w:r>
          <w:rPr>
            <w:rStyle w:val="Hyperlink"/>
            <w:i/>
            <w:iCs/>
          </w:rPr>
          <w:t xml:space="preserve">Dplyr: A grammar of data manipulation</w:t>
        </w:r>
      </w:hyperlink>
      <w:r>
        <w:t xml:space="preserve">. 2023.</w:t>
      </w:r>
    </w:p>
    <w:bookmarkEnd w:id="49"/>
    <w:bookmarkStart w:id="51" w:name="ref-feinstein2018pccc"/>
    <w:p>
      <w:pPr>
        <w:pStyle w:val="Bibliography"/>
      </w:pPr>
      <w:r>
        <w:t xml:space="preserve">17</w:t>
      </w:r>
      <w:r>
        <w:t xml:space="preserve"> </w:t>
      </w:r>
      <w:r>
        <w:t xml:space="preserve">	</w:t>
      </w:r>
      <w:r>
        <w:t xml:space="preserve">Feinstein JA, Russell S, DeWitt PE,</w:t>
      </w:r>
      <w:r>
        <w:t xml:space="preserve"> </w:t>
      </w:r>
      <w:r>
        <w:rPr>
          <w:i/>
          <w:iCs/>
        </w:rPr>
        <w:t xml:space="preserve">et al.</w:t>
      </w:r>
      <w:r>
        <w:t xml:space="preserve"> R package for pediatric complex chronic condition classification.</w:t>
      </w:r>
      <w:r>
        <w:t xml:space="preserve"> </w:t>
      </w:r>
      <w:r>
        <w:rPr>
          <w:i/>
          <w:iCs/>
        </w:rPr>
        <w:t xml:space="preserve">JAMA Pediatrics</w:t>
      </w:r>
      <w:r>
        <w:t xml:space="preserve">. 2018;172:596–8. doi:</w:t>
      </w:r>
      <w:r>
        <w:t xml:space="preserve"> </w:t>
      </w:r>
      <w:hyperlink r:id="rId50">
        <w:r>
          <w:rPr>
            <w:rStyle w:val="Hyperlink"/>
          </w:rPr>
          <w:t xml:space="preserve">10.1001/jamapediatrics.2018.0256</w:t>
        </w:r>
      </w:hyperlink>
    </w:p>
    <w:bookmarkEnd w:id="51"/>
    <w:bookmarkStart w:id="52" w:name="ref-johnson2018mimic"/>
    <w:p>
      <w:pPr>
        <w:pStyle w:val="Bibliography"/>
      </w:pPr>
      <w:r>
        <w:t xml:space="preserve">18</w:t>
      </w:r>
      <w:r>
        <w:t xml:space="preserve"> </w:t>
      </w:r>
      <w:r>
        <w:t xml:space="preserve">	</w:t>
      </w:r>
      <w:r>
        <w:t xml:space="preserve">Johnson AEW, Stone DJ, Celi LA,</w:t>
      </w:r>
      <w:r>
        <w:t xml:space="preserve"> </w:t>
      </w:r>
      <w:r>
        <w:rPr>
          <w:i/>
          <w:iCs/>
        </w:rPr>
        <w:t xml:space="preserve">et al.</w:t>
      </w:r>
      <w:r>
        <w:t xml:space="preserve"> The MIMIC code repository: Enabling reproducibility in critical care research.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 2018;25:32–9.</w:t>
      </w:r>
    </w:p>
    <w:bookmarkEnd w:id="52"/>
    <w:bookmarkStart w:id="54" w:name="ref-PhysioNet-mimiciv-3.1"/>
    <w:p>
      <w:pPr>
        <w:pStyle w:val="Bibliography"/>
      </w:pPr>
      <w:r>
        <w:t xml:space="preserve">19</w:t>
      </w:r>
      <w:r>
        <w:t xml:space="preserve"> </w:t>
      </w:r>
      <w:r>
        <w:t xml:space="preserve">	</w:t>
      </w:r>
      <w:r>
        <w:t xml:space="preserve">Johnson A, Bulgarelli L, Pollard T,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MIMIC-IV</w:t>
      </w:r>
      <w:r>
        <w:t xml:space="preserve">.</w:t>
      </w:r>
      <w:r>
        <w:t xml:space="preserve"> </w:t>
      </w:r>
      <w:r>
        <w:rPr>
          <w:i/>
          <w:iCs/>
        </w:rPr>
        <w:t xml:space="preserve">PhysioNet</w:t>
      </w:r>
      <w:r>
        <w:t xml:space="preserve">. Published Online First: October 2024. doi:</w:t>
      </w:r>
      <w:r>
        <w:t xml:space="preserve"> </w:t>
      </w:r>
      <w:hyperlink r:id="rId53">
        <w:r>
          <w:rPr>
            <w:rStyle w:val="Hyperlink"/>
          </w:rPr>
          <w:t xml:space="preserve">10.13026/kpb9-mt58</w:t>
        </w:r>
      </w:hyperlink>
    </w:p>
    <w:bookmarkEnd w:id="54"/>
    <w:bookmarkStart w:id="55" w:name="ref-johnson2023mimic"/>
    <w:p>
      <w:pPr>
        <w:pStyle w:val="Bibliography"/>
      </w:pPr>
      <w:r>
        <w:t xml:space="preserve">20</w:t>
      </w:r>
      <w:r>
        <w:t xml:space="preserve"> </w:t>
      </w:r>
      <w:r>
        <w:t xml:space="preserve">	</w:t>
      </w:r>
      <w:r>
        <w:t xml:space="preserve">Johnson AE, Bulgarelli L, Shen L,</w:t>
      </w:r>
      <w:r>
        <w:t xml:space="preserve"> </w:t>
      </w:r>
      <w:r>
        <w:rPr>
          <w:i/>
          <w:iCs/>
        </w:rPr>
        <w:t xml:space="preserve">et al.</w:t>
      </w:r>
      <w:r>
        <w:t xml:space="preserve"> MIMIC-IV, a freely accessible electronic health record dataset.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. 2023;10:1.</w:t>
      </w:r>
    </w:p>
    <w:bookmarkEnd w:id="55"/>
    <w:bookmarkStart w:id="57" w:name="ref-PhysioNet2000"/>
    <w:p>
      <w:pPr>
        <w:pStyle w:val="Bibliography"/>
      </w:pPr>
      <w:r>
        <w:t xml:space="preserve">21</w:t>
      </w:r>
      <w:r>
        <w:t xml:space="preserve"> </w:t>
      </w:r>
      <w:r>
        <w:t xml:space="preserve">	</w:t>
      </w:r>
      <w:r>
        <w:t xml:space="preserve">Goldberger AL, Amaral LAN, Glass L,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PhysioBank, PhysioToolkit, and PhysioNet: Components of a New Research Resource for Complex Physiologic Signals</w:t>
      </w:r>
      <w:r>
        <w:t xml:space="preserve">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2000;101:e215–20. doi:</w:t>
      </w:r>
      <w:r>
        <w:t xml:space="preserve"> </w:t>
      </w:r>
      <w:hyperlink r:id="rId56">
        <w:r>
          <w:rPr>
            <w:rStyle w:val="Hyperlink"/>
          </w:rPr>
          <w:t xml:space="preserve">10.1161/01.cir.101.23.e215</w:t>
        </w:r>
      </w:hyperlink>
    </w:p>
    <w:bookmarkEnd w:id="57"/>
    <w:bookmarkEnd w:id="58"/>
    <w:p>
      <w:r>
        <w:br w:type="page"/>
      </w:r>
    </w:p>
    <w:bookmarkEnd w:id="59"/>
    <w:bookmarkStart w:id="60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1:</w:t>
      </w:r>
      <w:r>
        <w:t xml:space="preserve"> </w:t>
      </w:r>
      <w:r>
        <w:t xml:space="preserve">Interface for the</w:t>
      </w:r>
      <w:r>
        <w:t xml:space="preserve"> </w:t>
      </w:r>
      <w:r>
        <w:rPr>
          <w:rStyle w:val="VerbatimChar"/>
        </w:rPr>
        <w:t xml:space="preserve">medicalcoder::comorbidities()</w:t>
      </w:r>
      <w:r>
        <w:t xml:space="preserve"> </w:t>
      </w:r>
      <w:r>
        <w:t xml:space="preserve">function. The</w:t>
      </w:r>
      <w:r>
        <w:t xml:space="preserve"> </w:t>
      </w:r>
      <w:r>
        <w:t xml:space="preserve">function requires a data object containing one ICD code per row, the column</w:t>
      </w:r>
      <w:r>
        <w:t xml:space="preserve"> </w:t>
      </w:r>
      <w:r>
        <w:t xml:space="preserve">containing ICD codes, and the comorbidity algorithm specification (e.g.,</w:t>
      </w:r>
      <w:r>
        <w:t xml:space="preserve"> </w:t>
      </w:r>
      <w:r>
        <w:t xml:space="preserve">Charlson or Elixhauser variants). Optional arguments allow users to specify</w:t>
      </w:r>
      <w:r>
        <w:t xml:space="preserve"> </w:t>
      </w:r>
      <w:r>
        <w:t xml:space="preserve">encounter identifiers, ICD version, diagnosis type, present-on-admission</w:t>
      </w:r>
      <w:r>
        <w:t xml:space="preserve"> </w:t>
      </w:r>
      <w:r>
        <w:t xml:space="preserve">indicators, patient age, and primary diagnosis flags. Defaults control how</w:t>
      </w:r>
      <w:r>
        <w:t xml:space="preserve"> </w:t>
      </w:r>
      <w:r>
        <w:t xml:space="preserve">comorbidities are identified, including encounter-level (</w:t>
      </w:r>
      <w:r>
        <w:rPr>
          <w:rStyle w:val="VerbatimChar"/>
        </w:rPr>
        <w:t xml:space="preserve">flag.method = "current"</w:t>
      </w:r>
      <w:r>
        <w:t xml:space="preserve">) or longitudinal (</w:t>
      </w:r>
      <w:r>
        <w:rPr>
          <w:rStyle w:val="VerbatimChar"/>
        </w:rPr>
        <w:t xml:space="preserve">flag.method = "cumulative"</w:t>
      </w:r>
      <w:r>
        <w:t xml:space="preserve">) evaluation and how ICD</w:t>
      </w:r>
      <w:r>
        <w:t xml:space="preserve"> </w:t>
      </w:r>
      <w:r>
        <w:t xml:space="preserve">codes are matched.</w:t>
      </w:r>
    </w:p>
    <w:p>
      <w:pPr>
        <w:pStyle w:val="BodyText"/>
      </w:pPr>
      <w:r>
        <w:rPr>
          <w:b/>
          <w:bCs/>
        </w:rPr>
        <w:t xml:space="preserve">Figure 1 ALT TEXT:</w:t>
      </w:r>
      <w:r>
        <w:t xml:space="preserve"> </w:t>
      </w:r>
      <w:r>
        <w:t xml:space="preserve">Diagram showing the argument structure of the R function</w:t>
      </w:r>
      <w:r>
        <w:t xml:space="preserve"> </w:t>
      </w:r>
      <w:r>
        <w:rPr>
          <w:rStyle w:val="VerbatimChar"/>
        </w:rPr>
        <w:t xml:space="preserve">medicalcoder::comorbidities()</w:t>
      </w:r>
      <w:r>
        <w:t xml:space="preserve">. The figure lists three required inputs: a data</w:t>
      </w:r>
      <w:r>
        <w:t xml:space="preserve"> </w:t>
      </w:r>
      <w:r>
        <w:t xml:space="preserve">frame containing one ICD code per row (data), the column name containing ICD</w:t>
      </w:r>
      <w:r>
        <w:t xml:space="preserve"> </w:t>
      </w:r>
      <w:r>
        <w:t xml:space="preserve">codes (</w:t>
      </w:r>
      <w:r>
        <w:rPr>
          <w:rStyle w:val="VerbatimChar"/>
        </w:rPr>
        <w:t xml:space="preserve">icd.codes</w:t>
      </w:r>
      <w:r>
        <w:t xml:space="preserve">), and the comorbidity method specification (</w:t>
      </w:r>
      <w:r>
        <w:rPr>
          <w:rStyle w:val="VerbatimChar"/>
        </w:rPr>
        <w:t xml:space="preserve">method</w:t>
      </w:r>
      <w:r>
        <w:t xml:space="preserve">, such as</w:t>
      </w:r>
      <w:r>
        <w:t xml:space="preserve"> </w:t>
      </w:r>
      <w:r>
        <w:t xml:space="preserve">“charlson_quan2005”</w:t>
      </w:r>
      <w:r>
        <w:t xml:space="preserve">). Additional optional parameters allow users to specify</w:t>
      </w:r>
      <w:r>
        <w:t xml:space="preserve"> </w:t>
      </w:r>
      <w:r>
        <w:t xml:space="preserve">encounter identifiers, ICD version (9 or 10), diagnosis versus procedure</w:t>
      </w:r>
      <w:r>
        <w:t xml:space="preserve"> </w:t>
      </w:r>
      <w:r>
        <w:t xml:space="preserve">indicators, present-on- admission status, patient age (for Charlson algorithms),</w:t>
      </w:r>
      <w:r>
        <w:t xml:space="preserve"> </w:t>
      </w:r>
      <w:r>
        <w:t xml:space="preserve">and primary diagnosis flags. Default arguments include</w:t>
      </w:r>
      <w:r>
        <w:t xml:space="preserve"> </w:t>
      </w:r>
      <w:r>
        <w:rPr>
          <w:rStyle w:val="VerbatimChar"/>
        </w:rPr>
        <w:t xml:space="preserve">flag.method = "current"</w:t>
      </w:r>
      <w:r>
        <w:t xml:space="preserve"> </w:t>
      </w:r>
      <w:r>
        <w:t xml:space="preserve">for encounter-level detection,</w:t>
      </w:r>
      <w:r>
        <w:t xml:space="preserve"> </w:t>
      </w:r>
      <w:r>
        <w:rPr>
          <w:rStyle w:val="VerbatimChar"/>
        </w:rPr>
        <w:t xml:space="preserve">full.codes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compact.codes = 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subconditions = 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Number of subjects and encounters in the MIMIC-IV data set with different risk</w:t>
      </w:r>
      <w:r>
        <w:t xml:space="preserve"> </w:t>
      </w:r>
      <w:r>
        <w:t xml:space="preserve">profiles (more severe comorbidities and/or more comorbidities) with</w:t>
      </w:r>
      <w:r>
        <w:t xml:space="preserve"> </w:t>
      </w:r>
      <w:r>
        <w:rPr>
          <w:rStyle w:val="VerbatimChar"/>
        </w:rPr>
        <w:t xml:space="preserve">flag.method = "cumulative"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flag.method = "current"</w:t>
      </w:r>
      <w:r>
        <w:t xml:space="preserve">. The denomiator for Panel (A)</w:t>
      </w:r>
      <w:r>
        <w:t xml:space="preserve"> </w:t>
      </w:r>
      <w:r>
        <w:t xml:space="preserve">is the number of subjects with at least two encounters and at least one</w:t>
      </w:r>
      <w:r>
        <w:t xml:space="preserve"> </w:t>
      </w:r>
      <w:r>
        <w:t xml:space="preserve">comorbidity flagged on encounter 2 (implicitly encounter 1 is the same</w:t>
      </w:r>
      <w:r>
        <w:t xml:space="preserve"> </w:t>
      </w:r>
      <w:r>
        <w:t xml:space="preserve">regardless of</w:t>
      </w:r>
      <w:r>
        <w:t xml:space="preserve"> </w:t>
      </w:r>
      <w:r>
        <w:rPr>
          <w:rStyle w:val="VerbatimChar"/>
        </w:rPr>
        <w:t xml:space="preserve">flag.method</w:t>
      </w:r>
      <w:r>
        <w:t xml:space="preserve">.) The denomiator for Panel (B) is the number of</w:t>
      </w:r>
      <w:r>
        <w:t xml:space="preserve"> </w:t>
      </w:r>
      <w:r>
        <w:t xml:space="preserve">non-initial encounters with at least one comorbidity flag when</w:t>
      </w:r>
      <w:r>
        <w:t xml:space="preserve"> </w:t>
      </w:r>
      <w:r>
        <w:rPr>
          <w:rStyle w:val="VerbatimChar"/>
        </w:rPr>
        <w:t xml:space="preserve">flag.method = "cumulative".</w:t>
      </w:r>
    </w:p>
    <w:p>
      <w:pPr>
        <w:pStyle w:val="BodyText"/>
      </w:pPr>
      <w:r>
        <w:rPr>
          <w:b/>
          <w:bCs/>
        </w:rPr>
        <w:t xml:space="preserve">Figure 2 ALT TEXT:</w:t>
      </w:r>
    </w:p>
    <w:p>
      <w:pPr>
        <w:pStyle w:val="BodyText"/>
      </w:pPr>
      <w:r>
        <w:rPr>
          <w:b/>
          <w:bCs/>
        </w:rPr>
        <w:t xml:space="preserve">Figure 3:</w:t>
      </w:r>
      <w:r>
        <w:t xml:space="preserve"> </w:t>
      </w:r>
      <w:r>
        <w:t xml:space="preserve">The time required to flag comorbidities in the MIMIC-IV v3.1</w:t>
      </w:r>
      <w:r>
        <w:t xml:space="preserve"> </w:t>
      </w:r>
      <w:r>
        <w:t xml:space="preserve">dataset (7,365,770 rows,</w:t>
      </w:r>
      <w:r>
        <w:t xml:space="preserve"> </w:t>
      </w:r>
      <w:r>
        <w:t xml:space="preserve">364,627 unique subjects,</w:t>
      </w:r>
      <w:r>
        <w:t xml:space="preserve"> </w:t>
      </w:r>
      <w:r>
        <w:t xml:space="preserve">687,203 unique</w:t>
      </w:r>
      <w:r>
        <w:t xml:space="preserve"> </w:t>
      </w:r>
      <w:r>
        <w:t xml:space="preserve">encounters) by utility (panels) and flagging method. The MIMIC-IV code time is based on</w:t>
      </w:r>
      <w:r>
        <w:t xml:space="preserve"> </w:t>
      </w:r>
      <w:r>
        <w:t xml:space="preserve">running RSQLite code for an in-memory database. R packages</w:t>
      </w:r>
      <w:r>
        <w:t xml:space="preserve"> </w:t>
      </w:r>
      <w:r>
        <w:rPr>
          <w:i/>
          <w:iCs/>
        </w:rPr>
        <w:t xml:space="preserve">comorbidity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pccc</w:t>
      </w:r>
      <w:r>
        <w:t xml:space="preserve"> </w:t>
      </w:r>
      <w:r>
        <w:t xml:space="preserve">require multiple calls and aggregations to handle the mixed use of ICD-9</w:t>
      </w:r>
      <w:r>
        <w:t xml:space="preserve"> </w:t>
      </w:r>
      <w:r>
        <w:t xml:space="preserve">and ICD-10 within the MIMIC-IV dataset. Applying each of the</w:t>
      </w:r>
      <w:r>
        <w:t xml:space="preserve"> </w:t>
      </w:r>
      <w:r>
        <w:t xml:space="preserve">comorbidity algorithms and flagging methods within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requires only</w:t>
      </w:r>
      <w:r>
        <w:t xml:space="preserve"> </w:t>
      </w:r>
      <w:r>
        <w:t xml:space="preserve">modifying the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flag.method</w:t>
      </w:r>
      <w:r>
        <w:t xml:space="preserve"> </w:t>
      </w:r>
      <w:r>
        <w:t xml:space="preserve">argument to the</w:t>
      </w:r>
      <w:r>
        <w:t xml:space="preserve"> </w:t>
      </w:r>
      <w:r>
        <w:rPr>
          <w:rStyle w:val="VerbatimChar"/>
        </w:rPr>
        <w:t xml:space="preserve">medicalcoder::comorbidities()</w:t>
      </w:r>
      <w:r>
        <w:t xml:space="preserve"> </w:t>
      </w:r>
      <w:r>
        <w:t xml:space="preserve">call. Some panels are sparse, illustrating the</w:t>
      </w:r>
      <w:r>
        <w:t xml:space="preserve"> </w:t>
      </w:r>
      <w:r>
        <w:t xml:space="preserve">limited comorbidities method provided by the utility. The times were recorded</w:t>
      </w:r>
      <w:r>
        <w:t xml:space="preserve"> </w:t>
      </w:r>
      <w:r>
        <w:t xml:space="preserve">when building the supplement in R version 4.5.2 (2025-10-31) on macOS Sonoma 14.8.3</w:t>
      </w:r>
      <w:r>
        <w:t xml:space="preserve"> </w:t>
      </w:r>
      <w:r>
        <w:t xml:space="preserve">with a Intel(R) Core(TM) i9-9880H CPU @ 2.30GHz and 16.0 GB RAM.</w:t>
      </w:r>
    </w:p>
    <w:p>
      <w:pPr>
        <w:pStyle w:val="BodyText"/>
      </w:pPr>
      <w:r>
        <w:rPr>
          <w:b/>
          <w:bCs/>
        </w:rPr>
        <w:t xml:space="preserve">Figure 3 ALT TEXT:</w:t>
      </w:r>
    </w:p>
    <w:p>
      <w:pPr>
        <w:pStyle w:val="BodyText"/>
      </w:pPr>
      <w:r>
        <w:t xml:space="preserve">Four-panel grouped bar chart showing time in seconds to flag comorbidities in</w:t>
      </w:r>
      <w:r>
        <w:t xml:space="preserve"> </w:t>
      </w:r>
      <w:r>
        <w:t xml:space="preserve">the MIMIC-IV v3.1 dataset. Panels compare four utilities:</w:t>
      </w:r>
      <w:r>
        <w:t xml:space="preserve"> </w:t>
      </w:r>
      <w:r>
        <w:rPr>
          <w:i/>
          <w:iCs/>
        </w:rPr>
        <w:t xml:space="preserve">comorbidity</w:t>
      </w:r>
      <w:r>
        <w:t xml:space="preserve">,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, MIMIC-IV code, and</w:t>
      </w:r>
      <w:r>
        <w:t xml:space="preserve"> </w:t>
      </w:r>
      <w:r>
        <w:rPr>
          <w:i/>
          <w:iCs/>
        </w:rPr>
        <w:t xml:space="preserve">pccc</w:t>
      </w:r>
      <w:r>
        <w:t xml:space="preserve">. The x-axis lists comorbidity</w:t>
      </w:r>
      <w:r>
        <w:t xml:space="preserve"> </w:t>
      </w:r>
      <w:r>
        <w:t xml:space="preserve">algorithms: Charlson, Elixhauser, PCCC version 2.0, and PCCC version 3.1. The</w:t>
      </w:r>
      <w:r>
        <w:t xml:space="preserve"> </w:t>
      </w:r>
      <w:r>
        <w:t xml:space="preserve">y-axis is time in seconds from 0 to about 160. Blue bars indicate cumulative</w:t>
      </w:r>
      <w:r>
        <w:t xml:space="preserve"> </w:t>
      </w:r>
      <w:r>
        <w:t xml:space="preserve">flagging and maroon bars indicate current flagging. Only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has</w:t>
      </w:r>
      <w:r>
        <w:t xml:space="preserve"> </w:t>
      </w:r>
      <w:r>
        <w:t xml:space="preserve">cumulative bars as it is the only utility natively supporting cumulative</w:t>
      </w:r>
      <w:r>
        <w:t xml:space="preserve"> </w:t>
      </w:r>
      <w:r>
        <w:t xml:space="preserve">flagging.</w:t>
      </w:r>
      <w:r>
        <w:t xml:space="preserve"> </w:t>
      </w:r>
      <w:r>
        <w:rPr>
          <w:i/>
          <w:iCs/>
        </w:rPr>
        <w:t xml:space="preserve">medicalcoder</w:t>
      </w:r>
      <w:r>
        <w:t xml:space="preserve"> </w:t>
      </w:r>
      <w:r>
        <w:t xml:space="preserve">is the fastest in every comparison shown, with times</w:t>
      </w:r>
      <w:r>
        <w:t xml:space="preserve"> </w:t>
      </w:r>
      <w:r>
        <w:t xml:space="preserve">of about 3 to 14 seconds across all four algorithms and flag methods.</w:t>
      </w:r>
      <w:r>
        <w:t xml:space="preserve"> </w:t>
      </w:r>
      <w:r>
        <w:rPr>
          <w:i/>
          <w:iCs/>
        </w:rPr>
        <w:t xml:space="preserve">comorbidity</w:t>
      </w:r>
      <w:r>
        <w:t xml:space="preserve"> </w:t>
      </w:r>
      <w:r>
        <w:t xml:space="preserve">is slower, at about 54 seconds for current Charlson, 76 seconds</w:t>
      </w:r>
      <w:r>
        <w:t xml:space="preserve"> </w:t>
      </w:r>
      <w:r>
        <w:t xml:space="preserve">for current Elixhauser. The MIMIC-IV code panel shows a single current Charlson</w:t>
      </w:r>
      <w:r>
        <w:t xml:space="preserve"> </w:t>
      </w:r>
      <w:r>
        <w:t xml:space="preserve">result at about 106 seconds. The</w:t>
      </w:r>
      <w:r>
        <w:t xml:space="preserve"> </w:t>
      </w:r>
      <w:r>
        <w:rPr>
          <w:i/>
          <w:iCs/>
        </w:rPr>
        <w:t xml:space="preserve">pccc</w:t>
      </w:r>
      <w:r>
        <w:t xml:space="preserve"> </w:t>
      </w:r>
      <w:r>
        <w:t xml:space="preserve">panel shows only PCCC version 2.0, with</w:t>
      </w:r>
      <w:r>
        <w:t xml:space="preserve"> </w:t>
      </w:r>
      <w:r>
        <w:t xml:space="preserve">about 152 seconds for current flagging.</w:t>
      </w:r>
    </w:p>
    <w:bookmarkEnd w:id="60"/>
    <w:sectPr w:rsidR="00A6194A" w:rsidRPr="003A1AFF">
      <w:footnotePr>
        <w:numFmt w:val="lowerLetter"/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https://cran.r-project.org/src/base/NEWS.3#:~:text=R%20has%20new,to%20version%203.5.0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https://github.com/dewittpe/medicalcoder/tree/main/testing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test directory within the source medicalcoder_</w:t>
      </w:r>
      <w:r>
        <w:t xml:space="preserve">.tar.gz</w:t>
      </w:r>
      <w:r>
        <w:t xml:space="preserve"> </w:t>
      </w:r>
      <w:r>
        <w:t xml:space="preserve">contains these tests are are checked prior to CRAN submissions. Detail on</w:t>
      </w:r>
      <w:r>
        <w:t xml:space="preserve"> </w:t>
      </w:r>
      <w:r>
        <w:t xml:space="preserve">building the expected output from AHRQ via SAS is found here:</w:t>
      </w:r>
      <w:r>
        <w:t xml:space="preserve"> </w:t>
      </w:r>
      <w:r>
        <w:t xml:space="preserve">https://github.com/dewittpe/medicalcoder/blob/main/tests/build-expected-ahrq-results/README.md.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https://www.peteredewitt.com/medicalcoder/articles/medicalcoder-vs-mimic.html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https://github.com/MIT-LCP/mimic-code.git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77CE9EC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506093064" w:numId="1">
    <w:abstractNumId w:val="0"/>
  </w:num>
  <w:num w16cid:durableId="142661264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1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D8"/>
    <w:rsid w:val="00186CE5"/>
    <w:rsid w:val="001C1EDF"/>
    <w:rsid w:val="001C7C71"/>
    <w:rsid w:val="001E057D"/>
    <w:rsid w:val="003A1AFF"/>
    <w:rsid w:val="003B4E24"/>
    <w:rsid w:val="004D02F2"/>
    <w:rsid w:val="00744B3D"/>
    <w:rsid w:val="007548E3"/>
    <w:rsid w:val="007723D8"/>
    <w:rsid w:val="008A7161"/>
    <w:rsid w:val="00927A08"/>
    <w:rsid w:val="00A46FFD"/>
    <w:rsid w:val="00A6194A"/>
    <w:rsid w:val="00DB136A"/>
    <w:rsid w:val="00E04AC5"/>
    <w:rsid w:val="00F95EE7"/>
    <w:rsid w:val="00FF7B9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548E3"/>
    <w:pPr>
      <w:spacing w:after="180" w:before="180" w:line="36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tablecap" w:type="paragraph">
    <w:name w:val="tablecap"/>
    <w:basedOn w:val="BodyText"/>
    <w:qFormat/>
    <w:rsid w:val="00FF7B91"/>
    <w:pPr>
      <w:spacing w:line="240" w:lineRule="auto"/>
    </w:pPr>
    <w:rPr>
      <w:i/>
      <w:sz w:val="18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sid w:val="00DB136A"/>
    <w:rPr>
      <w:rFonts w:ascii="Consolas" w:hAnsi="Consolas"/>
      <w:color w:val="5E5E5E"/>
      <w:sz w:val="20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doi.org/10.1001/jamanetworkopen.2024.20579" TargetMode="External" /><Relationship Type="http://schemas.openxmlformats.org/officeDocument/2006/relationships/hyperlink" Id="rId50" Target="https://doi.org/10.1001/jamapediatrics.2018.0256" TargetMode="External" /><Relationship Type="http://schemas.openxmlformats.org/officeDocument/2006/relationships/hyperlink" Id="rId24" Target="https://doi.org/10.1093/aje/kwq433" TargetMode="External" /><Relationship Type="http://schemas.openxmlformats.org/officeDocument/2006/relationships/hyperlink" Id="rId22" Target="https://doi.org/10.1097/01.mlr.0000182534.19832.83" TargetMode="External" /><Relationship Type="http://schemas.openxmlformats.org/officeDocument/2006/relationships/hyperlink" Id="rId56" Target="https://doi.org/10.1161/01.cir.101.23.e215" TargetMode="External" /><Relationship Type="http://schemas.openxmlformats.org/officeDocument/2006/relationships/hyperlink" Id="rId28" Target="https://doi.org/10.1186/1471-2431-14-199" TargetMode="External" /><Relationship Type="http://schemas.openxmlformats.org/officeDocument/2006/relationships/hyperlink" Id="rId53" Target="https://doi.org/10.13026/kpb9-mt58" TargetMode="External" /><Relationship Type="http://schemas.openxmlformats.org/officeDocument/2006/relationships/hyperlink" Id="rId37" Target="https://doi.org/10.21105/joss.00648" TargetMode="External" /><Relationship Type="http://schemas.openxmlformats.org/officeDocument/2006/relationships/hyperlink" Id="rId46" Target="https://doi.org/10.32614/CRAN.package.data.table" TargetMode="External" /><Relationship Type="http://schemas.openxmlformats.org/officeDocument/2006/relationships/hyperlink" Id="rId48" Target="https://doi.org/10.32614/CRAN.package.dplyr" TargetMode="External" /><Relationship Type="http://schemas.openxmlformats.org/officeDocument/2006/relationships/hyperlink" Id="rId42" Target="https://doi.org/10.32614/CRAN.package.icdcomorbid" TargetMode="External" /><Relationship Type="http://schemas.openxmlformats.org/officeDocument/2006/relationships/hyperlink" Id="rId44" Target="https://doi.org/10.32614/CRAN.package.multimorbidity" TargetMode="External" /><Relationship Type="http://schemas.openxmlformats.org/officeDocument/2006/relationships/hyperlink" Id="rId39" Target="https://github.com/CUD2V/pccc" TargetMode="External" /><Relationship Type="http://schemas.openxmlformats.org/officeDocument/2006/relationships/hyperlink" Id="rId30" Target="https://hcup-us.ahrq.gov/toolssoftware/comorbidityicd10/comorbidity_icd10.jsp" TargetMode="External" /><Relationship Type="http://schemas.openxmlformats.org/officeDocument/2006/relationships/hyperlink" Id="rId32" Target="https://pubmed.ncbi.nlm.nih.gov/31428236/" TargetMode="External" /><Relationship Type="http://schemas.openxmlformats.org/officeDocument/2006/relationships/hyperlink" Id="rId9" Target="mailto:peter.dewitt@cuanschutz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networkopen.2024.20579" TargetMode="External" /><Relationship Type="http://schemas.openxmlformats.org/officeDocument/2006/relationships/hyperlink" Id="rId50" Target="https://doi.org/10.1001/jamapediatrics.2018.0256" TargetMode="External" /><Relationship Type="http://schemas.openxmlformats.org/officeDocument/2006/relationships/hyperlink" Id="rId24" Target="https://doi.org/10.1093/aje/kwq433" TargetMode="External" /><Relationship Type="http://schemas.openxmlformats.org/officeDocument/2006/relationships/hyperlink" Id="rId22" Target="https://doi.org/10.1097/01.mlr.0000182534.19832.83" TargetMode="External" /><Relationship Type="http://schemas.openxmlformats.org/officeDocument/2006/relationships/hyperlink" Id="rId56" Target="https://doi.org/10.1161/01.cir.101.23.e215" TargetMode="External" /><Relationship Type="http://schemas.openxmlformats.org/officeDocument/2006/relationships/hyperlink" Id="rId28" Target="https://doi.org/10.1186/1471-2431-14-199" TargetMode="External" /><Relationship Type="http://schemas.openxmlformats.org/officeDocument/2006/relationships/hyperlink" Id="rId53" Target="https://doi.org/10.13026/kpb9-mt58" TargetMode="External" /><Relationship Type="http://schemas.openxmlformats.org/officeDocument/2006/relationships/hyperlink" Id="rId37" Target="https://doi.org/10.21105/joss.00648" TargetMode="External" /><Relationship Type="http://schemas.openxmlformats.org/officeDocument/2006/relationships/hyperlink" Id="rId46" Target="https://doi.org/10.32614/CRAN.package.data.table" TargetMode="External" /><Relationship Type="http://schemas.openxmlformats.org/officeDocument/2006/relationships/hyperlink" Id="rId48" Target="https://doi.org/10.32614/CRAN.package.dplyr" TargetMode="External" /><Relationship Type="http://schemas.openxmlformats.org/officeDocument/2006/relationships/hyperlink" Id="rId42" Target="https://doi.org/10.32614/CRAN.package.icdcomorbid" TargetMode="External" /><Relationship Type="http://schemas.openxmlformats.org/officeDocument/2006/relationships/hyperlink" Id="rId44" Target="https://doi.org/10.32614/CRAN.package.multimorbidity" TargetMode="External" /><Relationship Type="http://schemas.openxmlformats.org/officeDocument/2006/relationships/hyperlink" Id="rId39" Target="https://github.com/CUD2V/pccc" TargetMode="External" /><Relationship Type="http://schemas.openxmlformats.org/officeDocument/2006/relationships/hyperlink" Id="rId30" Target="https://hcup-us.ahrq.gov/toolssoftware/comorbidityicd10/comorbidity_icd10.jsp" TargetMode="External" /><Relationship Type="http://schemas.openxmlformats.org/officeDocument/2006/relationships/hyperlink" Id="rId32" Target="https://pubmed.ncbi.nlm.nih.gov/31428236/" TargetMode="External" /><Relationship Type="http://schemas.openxmlformats.org/officeDocument/2006/relationships/hyperlink" Id="rId9" Target="mailto:peter.dewitt@cuanschutz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medicalcoder: A Unified and Longitudinally Aware Framework for ICD-Based Comorbidity Assessment in R</dc:title>
  <dc:creator/>
  <cp:keywords/>
  <dcterms:created xsi:type="dcterms:W3CDTF">2026-03-17T19:25:30Z</dcterms:created>
  <dcterms:modified xsi:type="dcterms:W3CDTF">2026-03-17T19:25:30Z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jamia.csl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