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1960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  <w:r>
        <w:t xml:space="preserve"> </w:t>
      </w:r>
      <w:r>
        <w:t xml:space="preserve">mimiciv-data-analysis.pdf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145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characterization, but existing software inconsistently handles mixed</w:t>
      </w:r>
      <w:r>
        <w:t xml:space="preserve"> </w:t>
      </w:r>
      <w:r>
        <w:t xml:space="preserve">ICD-9/10 data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an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 are required. Outputs are consistent with published</w:t>
      </w:r>
      <w:r>
        <w:t xml:space="preserve"> </w:t>
      </w:r>
      <w:r>
        <w:t xml:space="preserve">reference implementations. Longitudinal flagging identifies additional</w:t>
      </w:r>
      <w:r>
        <w:t xml:space="preserve"> </w:t>
      </w:r>
      <w:r>
        <w:t xml:space="preserve">comorbidity flags under a carry-forward assumption while accounting for</w:t>
      </w:r>
      <w:r>
        <w:t xml:space="preserve"> </w:t>
      </w:r>
      <w:r>
        <w:t xml:space="preserve">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189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an internal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produces encounter-level outputs consistent with reference implementations. It</w:t>
            </w:r>
            <w:r>
              <w:t xml:space="preserve"> </w:t>
            </w:r>
            <w:r>
              <w:t xml:space="preserve">helps researchers apply comorbidity algorithms with consistency, improving the quality and</w:t>
            </w:r>
            <w:r>
              <w:t xml:space="preserve"> </w:t>
            </w:r>
            <w:r>
              <w:t xml:space="preserve">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[1–8]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[1,9–11]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[4,12–16]</w:t>
      </w:r>
      <w:r>
        <w:t xml:space="preserve">.</w:t>
      </w:r>
    </w:p>
    <w:p>
      <w:pPr>
        <w:pStyle w:val="BodyText"/>
      </w:pPr>
      <w:r>
        <w:t xml:space="preserve">Other R packages for working with ICD codes and comorbidities include the</w:t>
      </w:r>
      <w:r>
        <w:t xml:space="preserve"> </w:t>
      </w:r>
      <w:r>
        <w:t xml:space="preserve">archived</w:t>
      </w:r>
      <w:r>
        <w:t xml:space="preserve"> </w:t>
      </w:r>
      <w:r>
        <w:rPr>
          <w:i/>
          <w:iCs/>
        </w:rPr>
        <w:t xml:space="preserve">icd</w:t>
      </w:r>
      <w:r>
        <w:t xml:space="preserve"> </w:t>
      </w:r>
      <w:r>
        <w:t xml:space="preserve">package, which provides ICD validation, manipulation, and</w:t>
      </w:r>
      <w:r>
        <w:t xml:space="preserve"> </w:t>
      </w:r>
      <w:r>
        <w:t xml:space="preserve">comorbidity mapping</w:t>
      </w:r>
      <w:r>
        <w:t xml:space="preserve"> </w:t>
      </w:r>
      <w:r>
        <w:t xml:space="preserve">[17]</w:t>
      </w:r>
      <w:r>
        <w:t xml:space="preserve">, and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packages which</w:t>
      </w:r>
      <w:r>
        <w:t xml:space="preserve"> </w:t>
      </w:r>
      <w:r>
        <w:t xml:space="preserve">implement specific algorithms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Despite the importance of longitudinal data in medical</w:t>
      </w:r>
      <w:r>
        <w:t xml:space="preserve"> </w:t>
      </w:r>
      <w:r>
        <w:t xml:space="preserve">research</w:t>
      </w:r>
      <w:r>
        <w:t xml:space="preserve"> </w:t>
      </w:r>
      <w:r>
        <w:t xml:space="preserve">[18–20]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 </w:t>
      </w:r>
      <w:r>
        <w:t xml:space="preserve">[5,12–16,21–24]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excluded from the index encounter may be missed</w:t>
      </w:r>
      <w:r>
        <w:t xml:space="preserve"> </w:t>
      </w:r>
      <w:r>
        <w:t xml:space="preserve">in subsequent encounters unless the relevant ICD codes are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 </w:t>
      </w:r>
      <w:r>
        <w:t xml:space="preserve">[25]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as a unified, POA-aware API supporting multiple</w:t>
      </w:r>
      <w:r>
        <w:t xml:space="preserve"> </w:t>
      </w:r>
      <w:r>
        <w:t xml:space="preserve">algorithms, algorithm-specific requirements, mixed ICD versions and types, and</w:t>
      </w:r>
      <w:r>
        <w:t xml:space="preserve"> </w:t>
      </w:r>
      <w:r>
        <w:t xml:space="preserve">longitudinal data.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self-contained R package with an internal ICD database capable of</w:t>
      </w:r>
      <w:r>
        <w:t xml:space="preserve"> </w:t>
      </w:r>
      <w:r>
        <w:t xml:space="preserve">applying multiple comorbidity algorithms to clinical datasets without external</w:t>
      </w:r>
      <w:r>
        <w:t xml:space="preserve"> </w:t>
      </w:r>
      <w:r>
        <w:t xml:space="preserve">dependencies, internet access, or data resources. The package should support</w:t>
      </w:r>
      <w:r>
        <w:t xml:space="preserve"> </w:t>
      </w:r>
      <w:r>
        <w:t xml:space="preserve">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3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run within restricted computing environments. No</w:t>
      </w:r>
      <w:r>
        <w:t xml:space="preserve"> </w:t>
      </w:r>
      <w:r>
        <w:t xml:space="preserve">namespaces are imported, and no network access is required. R</w:t>
      </w:r>
      <w:r>
        <w:t xml:space="preserve"> </w:t>
      </w:r>
      <w:r>
        <w:t xml:space="preserve">≥ 3.5.0 is the only required installation and runtime dependency.</w:t>
      </w:r>
    </w:p>
    <w:p>
      <w:pPr>
        <w:pStyle w:val="BodyText"/>
      </w:pPr>
      <w:r>
        <w:t xml:space="preserve">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version 0.9.0, the internal</w:t>
      </w:r>
      <w:r>
        <w:t xml:space="preserve"> </w:t>
      </w:r>
      <w:r>
        <w:t xml:space="preserve">ICD database includes ICD-9 diagnostic codes from the Centers for Disease</w:t>
      </w:r>
      <w:r>
        <w:t xml:space="preserve"> </w:t>
      </w:r>
      <w:r>
        <w:t xml:space="preserve">Control and Prevention (CDC) and ICD-9-CM and ICD-9-PCS codes from the Centers</w:t>
      </w:r>
      <w:r>
        <w:t xml:space="preserve"> </w:t>
      </w:r>
      <w:r>
        <w:t xml:space="preserve">for Medicare and Medicaid Services (CMS). ICD-10 diagnostic codes from the CDC</w:t>
      </w:r>
      <w:r>
        <w:t xml:space="preserve"> </w:t>
      </w:r>
      <w:r>
        <w:t xml:space="preserve">and the World Health Organization (WHO) are included, along with ICD-10-CM and</w:t>
      </w:r>
      <w:r>
        <w:t xml:space="preserve"> </w:t>
      </w:r>
      <w:r>
        <w:t xml:space="preserve">ICD-10-PCS codes from CMS, ICD-10-AM (Australian Modification) data from the</w:t>
      </w:r>
      <w:r>
        <w:t xml:space="preserve"> </w:t>
      </w:r>
      <w:r>
        <w:t xml:space="preserve">Independent Health and Aged Care Pricing Authority, and ICD-10-SE (Swedish</w:t>
      </w:r>
      <w:r>
        <w:t xml:space="preserve"> </w:t>
      </w:r>
      <w:r>
        <w:t xml:space="preserve">modification) data from Socialstyrelsen. Future releases will incorporate</w:t>
      </w:r>
      <w:r>
        <w:t xml:space="preserve"> </w:t>
      </w:r>
      <w:r>
        <w:t xml:space="preserve">published updates to supported code sets and additional national modifications.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</w:t>
      </w:r>
      <w:r>
        <w:t xml:space="preserve"> </w:t>
      </w:r>
      <w:r>
        <w:t xml:space="preserve">[1,2]</w:t>
      </w:r>
      <w:r>
        <w:t xml:space="preserve">, CDMF (2019)</w:t>
      </w:r>
      <w:r>
        <w:t xml:space="preserve"> </w:t>
      </w:r>
      <w:r>
        <w:t xml:space="preserve">[6]</w:t>
      </w:r>
      <w:r>
        <w:t xml:space="preserve">, Ludvigsson (2021)</w:t>
      </w:r>
      <w:r>
        <w:t xml:space="preserve"> </w:t>
      </w:r>
      <w:r>
        <w:t xml:space="preserve">[7,8]</w:t>
      </w:r>
      <w:r>
        <w:t xml:space="preserve">, Sundararajan (2004)</w:t>
      </w:r>
      <w:r>
        <w:t xml:space="preserve"> </w:t>
      </w:r>
      <w:r>
        <w:t xml:space="preserve">[26]</w:t>
      </w:r>
      <w:r>
        <w:t xml:space="preserve">, and Beyrer (2021)</w:t>
      </w:r>
      <w:r>
        <w:t xml:space="preserve"> </w:t>
      </w:r>
      <w:r>
        <w:t xml:space="preserve">[27]</w:t>
      </w:r>
      <w:r>
        <w:t xml:space="preserve">. Elixhauser</w:t>
      </w:r>
      <w:r>
        <w:t xml:space="preserve"> </w:t>
      </w:r>
      <w:r>
        <w:t xml:space="preserve">variants include the original Elixhauser (1998)</w:t>
      </w:r>
      <w:r>
        <w:t xml:space="preserve"> </w:t>
      </w:r>
      <w:r>
        <w:t xml:space="preserve">[28]</w:t>
      </w:r>
      <w:r>
        <w:t xml:space="preserve">, AHRQ Web</w:t>
      </w:r>
      <w:r>
        <w:t xml:space="preserve"> </w:t>
      </w:r>
      <w:r>
        <w:t xml:space="preserve">(ICD-9 based as denoted in</w:t>
      </w:r>
      <w:r>
        <w:t xml:space="preserve"> </w:t>
      </w:r>
      <w:r>
        <w:t xml:space="preserve">[1]</w:t>
      </w:r>
      <w:r>
        <w:t xml:space="preserve">), Quan (2005)</w:t>
      </w:r>
      <w:r>
        <w:t xml:space="preserve"> </w:t>
      </w:r>
      <w:r>
        <w:t xml:space="preserve">[1]</w:t>
      </w:r>
      <w:r>
        <w:t xml:space="preserve">, and AHRQ</w:t>
      </w:r>
      <w:r>
        <w:t xml:space="preserve"> </w:t>
      </w:r>
      <w:r>
        <w:t xml:space="preserve">ICD-10 fiscal-year implementations (2022–2026)</w:t>
      </w:r>
      <w:r>
        <w:t xml:space="preserve"> </w:t>
      </w:r>
      <w:r>
        <w:t xml:space="preserve">[5]</w:t>
      </w:r>
      <w:r>
        <w:t xml:space="preserve">. PCCC variants</w:t>
      </w:r>
      <w:r>
        <w:t xml:space="preserve"> </w:t>
      </w:r>
      <w:r>
        <w:t xml:space="preserve">include versions 2.0</w:t>
      </w:r>
      <w:r>
        <w:t xml:space="preserve"> </w:t>
      </w:r>
      <w:r>
        <w:t xml:space="preserve">[22]</w:t>
      </w:r>
      <w:r>
        <w:t xml:space="preserve">, 2.1, 3.0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and 3.1. The reference data and comorbidity mappings are versioned within</w:t>
      </w:r>
      <w:r>
        <w:t xml:space="preserve"> </w:t>
      </w:r>
      <w:r>
        <w:t xml:space="preserve">each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maps ICD codes to comorbidity conditions using method-specific</w:t>
      </w:r>
      <w:r>
        <w:t xml:space="preserve"> </w:t>
      </w:r>
      <w:r>
        <w:t xml:space="preserve">lookup tables derived from, but distinct from, its broader internal ICD</w:t>
      </w:r>
      <w:r>
        <w:t xml:space="preserve"> </w:t>
      </w:r>
      <w:r>
        <w:t xml:space="preserve">database. Each table defines the ICD versions (9 or 10), code types (diagnosis</w:t>
      </w:r>
      <w:r>
        <w:t xml:space="preserve"> </w:t>
      </w:r>
      <w:r>
        <w:t xml:space="preserve">or procedure), full and compact code forms, and condition mappings supported by</w:t>
      </w:r>
      <w:r>
        <w:t xml:space="preserve"> </w:t>
      </w:r>
      <w:r>
        <w:t xml:space="preserve">the selected algorithm. Unlike implementations based primarily on partial string</w:t>
      </w:r>
      <w:r>
        <w:t xml:space="preserve"> </w:t>
      </w:r>
      <w:r>
        <w:t xml:space="preserve">matching or regular expressions</w:t>
      </w:r>
      <w:r>
        <w:t xml:space="preserve"> </w:t>
      </w:r>
      <w:r>
        <w:t xml:space="preserve">[12,13,24]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defaults</w:t>
      </w:r>
      <w:r>
        <w:t xml:space="preserve"> </w:t>
      </w:r>
      <w:r>
        <w:t xml:space="preserve">to matching input against precomputed valid ICD codes through database-style</w:t>
      </w:r>
      <w:r>
        <w:t xml:space="preserve"> </w:t>
      </w:r>
      <w:r>
        <w:t xml:space="preserve">joins. For supported methods, users may select method-specific regular-expression mappings. Dataset-</w:t>
      </w:r>
      <w:r>
        <w:t xml:space="preserve"> </w:t>
      </w:r>
      <w:r>
        <w:t xml:space="preserve">or row-level metadata can identify ICD version and code type, allowing mixed</w:t>
      </w:r>
      <w:r>
        <w:t xml:space="preserve"> </w:t>
      </w:r>
      <w:r>
        <w:t xml:space="preserve">ICD-9 and ICD-10 diagnosis and procedure codes within a dataset or encounter.</w:t>
      </w:r>
      <w:r>
        <w:t xml:space="preserve"> </w:t>
      </w:r>
      <w:r>
        <w:t xml:space="preserve">Matches are reduced to unique encounter-condition combinations before binary</w:t>
      </w:r>
      <w:r>
        <w:t xml:space="preserve"> </w:t>
      </w:r>
      <w:r>
        <w:t xml:space="preserve">indicators are assigned.</w:t>
      </w:r>
    </w:p>
    <w:p>
      <w:pPr>
        <w:pStyle w:val="BodyText"/>
      </w:pPr>
      <w:r>
        <w:t xml:space="preserve">Because code text alone cannot reliably distinguish jurisdictional variants such</w:t>
      </w:r>
      <w:r>
        <w:t xml:space="preserve"> </w:t>
      </w:r>
      <w:r>
        <w:t xml:space="preserve">as WHO ICD-10 and ICD-10-CM, users must select a method appropriate to their</w:t>
      </w:r>
      <w:r>
        <w:t xml:space="preserve"> </w:t>
      </w:r>
      <w:r>
        <w:t xml:space="preserve">source coding system and provide accurate code-system metadata.</w:t>
      </w:r>
    </w:p>
    <w:p>
      <w:pPr>
        <w:pStyle w:val="BodyText"/>
      </w:pPr>
      <w:r>
        <w:t xml:space="preserve">A comprehensive test suite runs through GitHub Actions and the Comprehensive R</w:t>
      </w:r>
      <w:r>
        <w:t xml:space="preserve"> </w:t>
      </w:r>
      <w:r>
        <w:t xml:space="preserve">Archive Network (CRAN), with additional compatibility testing across supported R</w:t>
      </w:r>
      <w:r>
        <w:t xml:space="preserve"> </w:t>
      </w:r>
      <w:r>
        <w:t xml:space="preserve">versions. Encounter-level outputs are compared with published R, SAS, and SQL</w:t>
      </w:r>
      <w:r>
        <w:t xml:space="preserve"> </w:t>
      </w:r>
      <w:r>
        <w:t xml:space="preserve">implementations: PCCC v2.0 with pccc</w:t>
      </w:r>
      <w:r>
        <w:t xml:space="preserve"> </w:t>
      </w:r>
      <w:r>
        <w:t xml:space="preserve">[13]</w:t>
      </w:r>
      <w:r>
        <w:t xml:space="preserve">, AHRQ Elixhauser variants</w:t>
      </w:r>
      <w:r>
        <w:t xml:space="preserve"> </w:t>
      </w:r>
      <w:r>
        <w:t xml:space="preserve">with the published AHRQ SAS programs</w:t>
      </w:r>
      <w:r>
        <w:t xml:space="preserve"> </w:t>
      </w:r>
      <w:r>
        <w:t xml:space="preserve">[5]</w:t>
      </w:r>
      <w:r>
        <w:t xml:space="preserve">, and Charlson variants with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 </w:t>
      </w:r>
      <w:r>
        <w:t xml:space="preserve">and MIMIC-IV Code</w:t>
      </w:r>
      <w:r>
        <w:t xml:space="preserve"> </w:t>
      </w:r>
      <w:r>
        <w:t xml:space="preserve">[24]</w:t>
      </w:r>
      <w:r>
        <w:t xml:space="preserve">.</w:t>
      </w:r>
      <w:r>
        <w:t xml:space="preserve"> </w:t>
      </w:r>
      <w:r>
        <w:t xml:space="preserve">Testing workflows and comparisons are provided in the package repository and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We use the MIMIC-IV v3.1 dataset</w:t>
      </w:r>
      <w:r>
        <w:t xml:space="preserve"> </w:t>
      </w:r>
      <w:r>
        <w:t xml:space="preserve">[29–31]</w:t>
      </w:r>
      <w:r>
        <w:t xml:space="preserve"> </w:t>
      </w:r>
      <w:r>
        <w:t xml:space="preserve">for examples, validation, and benchmarking, not clinical inference. Pediatric</w:t>
      </w:r>
      <w:r>
        <w:t xml:space="preserve"> </w:t>
      </w:r>
      <w:r>
        <w:t xml:space="preserve">comorbidity algorithms are demonstrated using adult data. We compare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with MIMIC-IV Code</w:t>
      </w:r>
      <w:r>
        <w:t xml:space="preserve"> </w:t>
      </w:r>
      <w:r>
        <w:t xml:space="preserve">[23,24]</w:t>
      </w:r>
      <w:r>
        <w:t xml:space="preserve">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, 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[13]</w:t>
      </w:r>
      <w:r>
        <w:t xml:space="preserve">.</w:t>
      </w:r>
    </w:p>
    <w:bookmarkEnd w:id="13"/>
    <w:bookmarkStart w:id="1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versions.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can apply</w:t>
      </w:r>
      <w:r>
        <w:t xml:space="preserve"> </w:t>
      </w:r>
      <w:r>
        <w:t xml:space="preserve">21 comorbidity</w:t>
      </w:r>
      <w:r>
        <w:t xml:space="preserve"> </w:t>
      </w:r>
      <w:r>
        <w:t xml:space="preserve">algorithms to long-format, one ICD code per row, data. Optional columns identify</w:t>
      </w:r>
      <w:r>
        <w:t xml:space="preserve"> </w:t>
      </w:r>
      <w:r>
        <w:t xml:space="preserve">patients and/or encounters, ICD version and type, POA, and primary diagnosis</w:t>
      </w:r>
      <w:r>
        <w:t xml:space="preserve"> </w:t>
      </w:r>
      <w:r>
        <w:t xml:space="preserve">(Figure 1). A single patient record may contain mixed ICD code versions and</w:t>
      </w:r>
      <w:r>
        <w:t xml:space="preserve"> </w:t>
      </w:r>
      <w:r>
        <w:t xml:space="preserve">types in full or compact forms.</w:t>
      </w:r>
    </w:p>
    <w:p>
      <w:pPr>
        <w:pStyle w:val="BodyText"/>
      </w:pPr>
      <w:r>
        <w:t xml:space="preserve">Paired arguments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specify dataset-level values or row-level</w:t>
      </w:r>
      <w:r>
        <w:t xml:space="preserve"> </w:t>
      </w:r>
      <w:r>
        <w:t xml:space="preserve">columns, respectively, avoiding constant-valued columns while supporting</w:t>
      </w:r>
      <w:r>
        <w:t xml:space="preserve"> </w:t>
      </w:r>
      <w:r>
        <w:t xml:space="preserve">row-level variation. If both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 takes precedence</w:t>
      </w:r>
      <w:r>
        <w:t xml:space="preserve"> </w:t>
      </w:r>
      <w:r>
        <w:t xml:space="preserve">and a warning is issued.</w:t>
      </w:r>
    </w:p>
    <w:p>
      <w:pPr>
        <w:pStyle w:val="BodyText"/>
      </w:pPr>
      <w:r>
        <w:rPr>
          <w:rStyle w:val="VerbatimChar"/>
        </w:rPr>
        <w:t xml:space="preserve">id.vars</w:t>
      </w:r>
      <w:r>
        <w:t xml:space="preserve"> </w:t>
      </w:r>
      <w:r>
        <w:t xml:space="preserve">defines encounter-level summaries: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, omission treats the dataset as one encounter;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 defining the patient and within-patient encounter order (Supplement</w:t>
      </w:r>
      <w:r>
        <w:t xml:space="preserve"> </w:t>
      </w:r>
      <w:r>
        <w:t xml:space="preserve">Section 5.1).</w:t>
      </w:r>
    </w:p>
    <w:p>
      <w:pPr>
        <w:pStyle w:val="BodyText"/>
      </w:pPr>
      <w:r>
        <w:t xml:space="preserve">Output preserves the input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class and includes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generates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method = "charlson_quan2011"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Encounter-level flagging assumes relevant ICD codes are reported, and when</w:t>
      </w:r>
      <w:r>
        <w:t xml:space="preserve"> </w:t>
      </w:r>
      <w:r>
        <w:t xml:space="preserve">required, marked POA at each encounter. Omissions may under-ascertain conditions</w:t>
      </w:r>
      <w:r>
        <w:t xml:space="preserve"> </w:t>
      </w:r>
      <w:r>
        <w:t xml:space="preserve">or severity.</w:t>
      </w:r>
    </w:p>
    <w:p>
      <w:pPr>
        <w:pStyle w:val="BodyText"/>
      </w:pPr>
      <w:r>
        <w:t xml:space="preserve">Figure 2 compares cumulative and current profiles using descriptive,</w:t>
      </w:r>
      <w:r>
        <w:t xml:space="preserve"> </w:t>
      </w:r>
      <w:r>
        <w:t xml:space="preserve">nonexclusive measures.</w:t>
      </w:r>
      <w:r>
        <w:t xml:space="preserve"> </w:t>
      </w:r>
      <w:r>
        <w:t xml:space="preserve">“Different risk profile”</w:t>
      </w:r>
      <w:r>
        <w:t xml:space="preserve"> </w:t>
      </w:r>
      <w:r>
        <w:t xml:space="preserve">denotes any difference in</w:t>
      </w:r>
      <w:r>
        <w:t xml:space="preserve"> </w:t>
      </w:r>
      <w:r>
        <w:t xml:space="preserve">condition classification or count. Denominators are subjects with at least two</w:t>
      </w:r>
      <w:r>
        <w:t xml:space="preserve"> </w:t>
      </w:r>
      <w:r>
        <w:t xml:space="preserve">encounters and a cumulative flag after the index encounter, and non-index</w:t>
      </w:r>
      <w:r>
        <w:t xml:space="preserve"> </w:t>
      </w:r>
      <w:r>
        <w:t xml:space="preserve">encounters with at least one cumulative flag. Among 92,536 eligible</w:t>
      </w:r>
      <w:r>
        <w:t xml:space="preserve"> </w:t>
      </w:r>
      <w:r>
        <w:t xml:space="preserve">Elixhauser subjects, 68,085 (73.6%) had a different profile on at least</w:t>
      </w:r>
      <w:r>
        <w:t xml:space="preserve"> </w:t>
      </w:r>
      <w:r>
        <w:t xml:space="preserve">one encounter, and 10,553 (11.4%) had no current but at least one</w:t>
      </w:r>
      <w:r>
        <w:t xml:space="preserve"> </w:t>
      </w:r>
      <w:r>
        <w:t xml:space="preserve">cumulative comorbidity.</w:t>
      </w:r>
    </w:p>
    <w:p>
      <w:pPr>
        <w:pStyle w:val="BodyText"/>
      </w:pPr>
      <w:r>
        <w:t xml:space="preserve">PCCC v3 and the 2022-2026 AHRQ Elixhauser algorithms require additional logic.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</w:t>
      </w:r>
      <w:r>
        <w:t xml:space="preserve"> </w:t>
      </w:r>
      <w:r>
        <w:t xml:space="preserve">For AHRQ Elixhauser variants, POA-required conditions are flagged when POA is</w:t>
      </w:r>
      <w:r>
        <w:t xml:space="preserve"> </w:t>
      </w:r>
      <w:r>
        <w:t xml:space="preserve">present, or the ICD code is POA-exempt (Supplement Section 8.4).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Across encounter-level comparisons with MIMIC-IV Code 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showed 100% agreement for shared condition flags after</w:t>
      </w:r>
      <w:r>
        <w:t xml:space="preserve"> </w:t>
      </w:r>
      <w:r>
        <w:t xml:space="preserve">harmonizing output conventions; PCCC v2.0 discordance with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was limited to</w:t>
      </w:r>
      <w:r>
        <w:t xml:space="preserve"> </w:t>
      </w:r>
      <w:r>
        <w:t xml:space="preserve">documented technology-dependence and transplant-category differences</w:t>
      </w:r>
      <w:r>
        <w:t xml:space="preserve"> </w:t>
      </w:r>
      <w:r>
        <w:t xml:space="preserve">(Supplementary Table 3).</w:t>
      </w:r>
    </w:p>
    <w:p>
      <w:pPr>
        <w:pStyle w:val="BodyText"/>
      </w:pPr>
      <w:r>
        <w:t xml:space="preserve">The comparators all use some form of partial string matching for mapping ICD</w:t>
      </w:r>
      <w:r>
        <w:t xml:space="preserve"> </w:t>
      </w:r>
      <w:r>
        <w:t xml:space="preserve">codes to conditions.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uses a set of precomputed valid ICD codes to</w:t>
      </w:r>
      <w:r>
        <w:t xml:space="preserve"> </w:t>
      </w:r>
      <w:r>
        <w:t xml:space="preserve">map between input data and conditions using database-style joins. As a result,</w:t>
      </w:r>
      <w:r>
        <w:t xml:space="preserve"> </w:t>
      </w:r>
      <w:r>
        <w:t xml:space="preserve">comparator implementations that rely on prefix or regular-expression matching</w:t>
      </w:r>
      <w:r>
        <w:t xml:space="preserve"> </w:t>
      </w:r>
      <w:r>
        <w:t xml:space="preserve">can return false-positive flags when an invalid input string starts with a valid</w:t>
      </w:r>
      <w:r>
        <w:t xml:space="preserve"> </w:t>
      </w:r>
      <w:r>
        <w:t xml:space="preserve">ICD code substring. For example, the ICD-10 code C189 maps to</w:t>
      </w:r>
      <w:r>
        <w:t xml:space="preserve"> </w:t>
      </w:r>
      <w:r>
        <w:t xml:space="preserve">“any malignancy”</w:t>
      </w:r>
      <w:r>
        <w:t xml:space="preserve"> </w:t>
      </w:r>
      <w:r>
        <w:t xml:space="preserve">under Charlson;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maps C189NOTACODE to that condition because the</w:t>
      </w:r>
      <w:r>
        <w:t xml:space="preserve"> </w:t>
      </w:r>
      <w:r>
        <w:t xml:space="preserve">string starts with C18.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by default, does not map the invalid</w:t>
      </w:r>
      <w:r>
        <w:t xml:space="preserve"> </w:t>
      </w:r>
      <w:r>
        <w:t xml:space="preserve">string to a condition.</w:t>
      </w:r>
    </w:p>
    <w:p>
      <w:pPr>
        <w:pStyle w:val="BodyText"/>
      </w:pPr>
      <w:r>
        <w:t xml:space="preserve">Precomputed ICD-to-condition maps reduce false-positive flags compared with</w:t>
      </w:r>
      <w:r>
        <w:t xml:space="preserve"> </w:t>
      </w:r>
      <w:r>
        <w:t xml:space="preserve">partial string matching and reduce computational expense. Benchmarking in the</w:t>
      </w:r>
      <w:r>
        <w:t xml:space="preserve"> </w:t>
      </w:r>
      <w:r>
        <w:t xml:space="preserve">supplement and Figure 3 shows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less time to compute</w:t>
      </w:r>
      <w:r>
        <w:t xml:space="preserve"> </w:t>
      </w:r>
      <w:r>
        <w:t xml:space="preserve">comorbidity flags in the MIMIC-IV examples.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4"/>
    <w:bookmarkStart w:id="1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originated as a PCCC implementation</w:t>
      </w:r>
      <w:r>
        <w:t xml:space="preserve"> </w:t>
      </w:r>
      <w:r>
        <w:t xml:space="preserve">[3,4]</w:t>
      </w:r>
      <w:r>
        <w:t xml:space="preserve">,</w:t>
      </w:r>
      <w:r>
        <w:t xml:space="preserve"> </w:t>
      </w:r>
      <w:r>
        <w:t xml:space="preserve">for which reproducible classification required a version-aware ICD database that</w:t>
      </w:r>
      <w:r>
        <w:t xml:space="preserve"> </w:t>
      </w:r>
      <w:r>
        <w:t xml:space="preserve">subsequently supported Charlson and Elixhauser algorithms. The package imports</w:t>
      </w:r>
      <w:r>
        <w:t xml:space="preserve"> </w:t>
      </w:r>
      <w:r>
        <w:t xml:space="preserve">no namespaces and can be installed wherever R ≥ 3.5.0 is available,</w:t>
      </w:r>
      <w:r>
        <w:t xml:space="preserve"> </w:t>
      </w:r>
      <w:r>
        <w:t xml:space="preserve">including restricted environments. Pinning the package version locks its ICD</w:t>
      </w:r>
      <w:r>
        <w:t xml:space="preserve"> </w:t>
      </w:r>
      <w:r>
        <w:t xml:space="preserve">database and comorbidity mappings, supporting reproducibility. “Dependency-free”</w:t>
      </w:r>
      <w:r>
        <w:t xml:space="preserve"> </w:t>
      </w:r>
      <w:r>
        <w:t xml:space="preserve">applies to installation and runtime; tests, documentation, benchmarks, and</w:t>
      </w:r>
      <w:r>
        <w:t xml:space="preserve"> </w:t>
      </w:r>
      <w:r>
        <w:t xml:space="preserve">manuscript workflows require the external tools and data described here and in</w:t>
      </w:r>
      <w:r>
        <w:t xml:space="preserve"> </w:t>
      </w:r>
      <w:r>
        <w:t xml:space="preserve">the Supplement.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addresses a methodological gap in existing comorbidity software:</w:t>
      </w:r>
      <w:r>
        <w:t xml:space="preserve"> </w:t>
      </w:r>
      <w:r>
        <w:t xml:space="preserve">the lack of support for longitudinal comorbidity assessment. Most</w:t>
      </w:r>
      <w:r>
        <w:t xml:space="preserve"> </w:t>
      </w:r>
      <w:r>
        <w:t xml:space="preserve">implementations operate strictly at the encounter level, implicitly assuming</w:t>
      </w:r>
      <w:r>
        <w:t xml:space="preserve"> </w:t>
      </w:r>
      <w:r>
        <w:t xml:space="preserve">that comorbid conditions are either repeatedly coded or clinically irrelevant</w:t>
      </w:r>
      <w:r>
        <w:t xml:space="preserve"> </w:t>
      </w:r>
      <w:r>
        <w:t xml:space="preserve">once absent from the current record. As demonstrated in Table 2, this assumption</w:t>
      </w:r>
      <w:r>
        <w:t xml:space="preserve"> </w:t>
      </w:r>
      <w:r>
        <w:t xml:space="preserve">can lead to systematic under-ascertainment of comorbidities, particularly for</w:t>
      </w:r>
      <w:r>
        <w:t xml:space="preserve"> </w:t>
      </w:r>
      <w:r>
        <w:t xml:space="preserve">chronic conditions, or conditions governed by POA rules or technology-dependent</w:t>
      </w:r>
      <w:r>
        <w:t xml:space="preserve"> </w:t>
      </w:r>
      <w:r>
        <w:t xml:space="preserve">classification criteria. By tracking condition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supports comorbidity classification based on prior observed</w:t>
      </w:r>
      <w:r>
        <w:t xml:space="preserve"> </w:t>
      </w:r>
      <w:r>
        <w:t xml:space="preserve">diagnoses under an explicit carry-forward assumption.</w:t>
      </w:r>
    </w:p>
    <w:p>
      <w:pPr>
        <w:pStyle w:val="BodyText"/>
      </w:pPr>
      <w:r>
        <w:t xml:space="preserve">The utility of cumulative flags depends on whether every ICD code mapped to a</w:t>
      </w:r>
      <w:r>
        <w:t xml:space="preserve"> </w:t>
      </w:r>
      <w:r>
        <w:t xml:space="preserve">condition represents persistent disease. For example, carry-forward</w:t>
      </w:r>
      <w:r>
        <w:t xml:space="preserve"> </w:t>
      </w:r>
      <w:r>
        <w:t xml:space="preserve">of uncomplicated diabetes is defensible for the Quan et al. Charlson and</w:t>
      </w:r>
      <w:r>
        <w:t xml:space="preserve"> </w:t>
      </w:r>
      <w:r>
        <w:t xml:space="preserve">Elixhauser mappings</w:t>
      </w:r>
      <w:r>
        <w:t xml:space="preserve"> </w:t>
      </w:r>
      <w:r>
        <w:t xml:space="preserve">[1]</w:t>
      </w:r>
      <w:r>
        <w:t xml:space="preserve">, which identify non-gestational diabetes. In the</w:t>
      </w:r>
      <w:r>
        <w:t xml:space="preserve"> </w:t>
      </w:r>
      <w:r>
        <w:t xml:space="preserve">AHRQ fiscal year 2022 and beyond mappings, however, uncomplicated diabetes also</w:t>
      </w:r>
      <w:r>
        <w:t xml:space="preserve"> </w:t>
      </w:r>
      <w:r>
        <w:t xml:space="preserve">includes ICD-10 codes under the O24 category for gestational diabetes, a</w:t>
      </w:r>
      <w:r>
        <w:t xml:space="preserve"> </w:t>
      </w:r>
      <w:r>
        <w:t xml:space="preserve">pregnancy-related and potentially transient condition. Because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carries forward the comorbidity flag rather than the originating ICD code,</w:t>
      </w:r>
      <w:r>
        <w:t xml:space="preserve"> </w:t>
      </w:r>
      <w:r>
        <w:t xml:space="preserve">subsequent output cannot distinguish gestational from non-gestational diabetes.</w:t>
      </w:r>
      <w:r>
        <w:t xml:space="preserve"> </w:t>
      </w:r>
      <w:r>
        <w:t xml:space="preserve">Thus, cumulative uncomplicated-diabetes flags may be reasonable with Quan-style</w:t>
      </w:r>
      <w:r>
        <w:t xml:space="preserve"> </w:t>
      </w:r>
      <w:r>
        <w:t xml:space="preserve">mappings but require additional qualification with AHRQ-style mappings.</w:t>
      </w:r>
    </w:p>
    <w:p>
      <w:pPr>
        <w:pStyle w:val="BodyText"/>
      </w:pPr>
      <w:r>
        <w:t xml:space="preserve">Malignancy illustrates a related limitation. Suppose C18.2</w:t>
      </w:r>
      <w:r>
        <w:t xml:space="preserve"> </w:t>
      </w:r>
      <w:r>
        <w:t xml:space="preserve">“malignant neoplasm</w:t>
      </w:r>
      <w:r>
        <w:t xml:space="preserve"> </w:t>
      </w:r>
      <w:r>
        <w:t xml:space="preserve">of the colon”</w:t>
      </w:r>
      <w:r>
        <w:t xml:space="preserve"> </w:t>
      </w:r>
      <w:r>
        <w:t xml:space="preserve">is reported. Upon resolution of the neoplasm, the C18.2 code</w:t>
      </w:r>
      <w:r>
        <w:t xml:space="preserve"> </w:t>
      </w:r>
      <w:r>
        <w:t xml:space="preserve">should no longer be reported and the ICD-10 code Z85.038,</w:t>
      </w:r>
      <w:r>
        <w:t xml:space="preserve"> </w:t>
      </w:r>
      <w:r>
        <w:t xml:space="preserve">“personal history of</w:t>
      </w:r>
      <w:r>
        <w:t xml:space="preserve"> </w:t>
      </w:r>
      <w:r>
        <w:t xml:space="preserve">malignant neoplasm of the large intestine”</w:t>
      </w:r>
      <w:r>
        <w:t xml:space="preserve"> </w:t>
      </w:r>
      <w:r>
        <w:t xml:space="preserve">should be reported. The cumulative</w:t>
      </w:r>
      <w:r>
        <w:t xml:space="preserve"> </w:t>
      </w:r>
      <w:r>
        <w:t xml:space="preserve">flag remains positive on and after the encounter with the initial C18.2 report</w:t>
      </w:r>
      <w:r>
        <w:t xml:space="preserve"> </w:t>
      </w:r>
      <w:r>
        <w:t xml:space="preserve">and therefore represents current or previously observed malignancy rather than</w:t>
      </w:r>
      <w:r>
        <w:t xml:space="preserve"> </w:t>
      </w:r>
      <w:r>
        <w:t xml:space="preserve">current malignancy alone. However, because Z85.038 is not included in any of the</w:t>
      </w:r>
      <w:r>
        <w:t xml:space="preserve"> </w:t>
      </w:r>
      <w:r>
        <w:t xml:space="preserve">comorbidity mappings, a history-only encounter preceding any mapped</w:t>
      </w:r>
      <w:r>
        <w:t xml:space="preserve"> </w:t>
      </w:r>
      <w:r>
        <w:t xml:space="preserve">active-malignancy code remains unflagged. Cumulative malignancy flags should</w:t>
      </w:r>
      <w:r>
        <w:t xml:space="preserve"> </w:t>
      </w:r>
      <w:r>
        <w:t xml:space="preserve">therefore be interpreted as indicating current or previously observed</w:t>
      </w:r>
      <w:r>
        <w:t xml:space="preserve"> </w:t>
      </w:r>
      <w:r>
        <w:t xml:space="preserve">malignancy, not a comprehensive current-or-history phenotype.</w:t>
      </w:r>
    </w:p>
    <w:p>
      <w:pPr>
        <w:pStyle w:val="BodyText"/>
      </w:pPr>
      <w:r>
        <w:t xml:space="preserve">The magnitude and interpretation of cumulative flagging may differ in pediatric,</w:t>
      </w:r>
      <w:r>
        <w:t xml:space="preserve"> </w:t>
      </w:r>
      <w:r>
        <w:t xml:space="preserve">outpatient, claims, non-ICU, and non-U.S. datasets compared to the results shown</w:t>
      </w:r>
      <w:r>
        <w:t xml:space="preserve"> </w:t>
      </w:r>
      <w:r>
        <w:t xml:space="preserve">using the MIMIC-IV v3.1 dataset because coding density, encounter spacing, POA</w:t>
      </w:r>
      <w:r>
        <w:t xml:space="preserve"> </w:t>
      </w:r>
      <w:r>
        <w:t xml:space="preserve">availability, and condition persistence vary across settings.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can introduce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encounter-level algorithms while offering additional flexibility.</w:t>
      </w:r>
    </w:p>
    <w:p>
      <w:pPr>
        <w:pStyle w:val="BodyText"/>
      </w:pPr>
      <w:r>
        <w:t xml:space="preserve">To our knowledge, no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consistently</w:t>
      </w:r>
      <w:r>
        <w:t xml:space="preserve"> </w:t>
      </w:r>
      <w:r>
        <w:t xml:space="preserve">characterize patient complexity and evaluate how different</w:t>
      </w:r>
      <w:r>
        <w:t xml:space="preserve"> </w:t>
      </w:r>
      <w:r>
        <w:t xml:space="preserve">comorbidity definitions influence analytic results.</w:t>
      </w:r>
    </w:p>
    <w:bookmarkStart w:id="15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that</w:t>
      </w:r>
      <w:r>
        <w:t xml:space="preserve"> </w:t>
      </w:r>
      <w:r>
        <w:t xml:space="preserve">can apply many comorbidity algorithms while accounting for ICD-version,</w:t>
      </w:r>
      <w:r>
        <w:t xml:space="preserve"> </w:t>
      </w:r>
      <w:r>
        <w:t xml:space="preserve">ICD-type, POA, primary diagnosis, and full and compact ICD codes. Codes can be</w:t>
      </w:r>
      <w:r>
        <w:t xml:space="preserve"> </w:t>
      </w:r>
      <w:r>
        <w:t xml:space="preserve">flagged for individual encounters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Funding: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1.9.38</w:t>
      </w:r>
      <w:r>
        <w:t xml:space="preserve"> </w:t>
      </w:r>
      <w:r>
        <w:t xml:space="preserve">(https://quarto.org/) and R version 4.6.1 (2026-06-24).</w:t>
      </w:r>
      <w:r>
        <w:t xml:space="preserve"> </w:t>
      </w:r>
      <w:r>
        <w:t xml:space="preserve">All R code, materials, 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</w:t>
      </w:r>
      <w:r>
        <w:t xml:space="preserve"> </w:t>
      </w:r>
      <w:r>
        <w:t xml:space="preserve">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5"/>
    <w:bookmarkEnd w:id="16"/>
    <w:bookmarkStart w:id="67" w:name="references"/>
    <w:p>
      <w:pPr>
        <w:pStyle w:val="Heading1"/>
      </w:pPr>
      <w:r>
        <w:t xml:space="preserve">References</w:t>
      </w:r>
    </w:p>
    <w:bookmarkStart w:id="66" w:name="refs"/>
    <w:bookmarkStart w:id="18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17">
        <w:r>
          <w:rPr>
            <w:rStyle w:val="Hyperlink"/>
          </w:rPr>
          <w:t xml:space="preserve">10.1097/01.mlr.0000182534.19832.83</w:t>
        </w:r>
      </w:hyperlink>
    </w:p>
    <w:bookmarkEnd w:id="18"/>
    <w:bookmarkStart w:id="20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19">
        <w:r>
          <w:rPr>
            <w:rStyle w:val="Hyperlink"/>
          </w:rPr>
          <w:t xml:space="preserve">10.1093/aje/kwq433</w:t>
        </w:r>
      </w:hyperlink>
    </w:p>
    <w:bookmarkEnd w:id="20"/>
    <w:bookmarkStart w:id="22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1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2"/>
    <w:bookmarkStart w:id="24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3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4"/>
    <w:bookmarkStart w:id="26" w:name="ref-ahrqicd10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Agency for Healthcare Research and Quality (AHRQ).</w:t>
      </w:r>
      <w:r>
        <w:t xml:space="preserve"> </w:t>
      </w:r>
      <w:hyperlink r:id="rId25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26"/>
    <w:bookmarkStart w:id="28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28"/>
    <w:bookmarkStart w:id="30" w:name="ref-ludvigsson2021adaptation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2021;21–41. doi:</w:t>
      </w:r>
      <w:r>
        <w:t xml:space="preserve"> </w:t>
      </w:r>
      <w:hyperlink r:id="rId29">
        <w:r>
          <w:rPr>
            <w:rStyle w:val="Hyperlink"/>
          </w:rPr>
          <w:t xml:space="preserve">https://doi.org/10.2147/CLEP.S282475</w:t>
        </w:r>
      </w:hyperlink>
    </w:p>
    <w:bookmarkEnd w:id="30"/>
    <w:bookmarkStart w:id="32" w:name="ref-ludvigsson2023adapt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 [corrigendum].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2023;15:753–4. doi:</w:t>
      </w:r>
      <w:r>
        <w:t xml:space="preserve"> </w:t>
      </w:r>
      <w:hyperlink r:id="rId31">
        <w:r>
          <w:rPr>
            <w:rStyle w:val="Hyperlink"/>
          </w:rPr>
          <w:t xml:space="preserve">https://doi.org/10.2147/clep.s425901</w:t>
        </w:r>
      </w:hyperlink>
    </w:p>
    <w:bookmarkEnd w:id="32"/>
    <w:bookmarkStart w:id="33" w:name="ref-yurkovich2015systematic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6" w:name="ref-r-icd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Wasey J.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Icd: Comorbidity calculations and tools for ICD-9 and ICD-10 codes</w:t>
        </w:r>
      </w:hyperlink>
      <w:r>
        <w:t xml:space="preserve">. 2020.</w:t>
      </w:r>
    </w:p>
    <w:bookmarkEnd w:id="46"/>
    <w:bookmarkStart w:id="47" w:name="ref-hripcsak2013next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7"/>
    <w:bookmarkStart w:id="48" w:name="ref-casey2016using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8"/>
    <w:bookmarkStart w:id="49" w:name="ref-jensen2014temporal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9"/>
    <w:bookmarkStart w:id="50" w:name="ref-ahrq2017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50"/>
    <w:bookmarkStart w:id="52" w:name="ref-feinstein2018pccc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1">
        <w:r>
          <w:rPr>
            <w:rStyle w:val="Hyperlink"/>
          </w:rPr>
          <w:t xml:space="preserve">10.1001/jamapediatrics.2018.0256</w:t>
        </w:r>
      </w:hyperlink>
    </w:p>
    <w:bookmarkEnd w:id="52"/>
    <w:bookmarkStart w:id="53" w:name="ref-johnson2018mimic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3"/>
    <w:bookmarkStart w:id="55" w:name="ref-johnson2022mimiccode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4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5"/>
    <w:bookmarkStart w:id="56" w:name="ref-watson2025trends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6"/>
    <w:bookmarkStart w:id="57" w:name="ref-sundararajan2004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Sundararajan V, Henderson T, Perry C,</w:t>
      </w:r>
      <w:r>
        <w:t xml:space="preserve"> </w:t>
      </w:r>
      <w:r>
        <w:rPr>
          <w:i/>
          <w:iCs/>
        </w:rPr>
        <w:t xml:space="preserve">et al.</w:t>
      </w:r>
      <w:r>
        <w:t xml:space="preserve"> New ICD-10 version of the charlson comorbidity index predicted in-hospital mortality.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2004;57:1288–94.</w:t>
      </w:r>
    </w:p>
    <w:bookmarkEnd w:id="57"/>
    <w:bookmarkStart w:id="58" w:name="ref-beyrer2021validation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Beyrer J, Manjelievskaia J, Bonafede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Validation of an international classification of disease, 10th revision coding adaptation for the charlson comorbidity index in united states healthcare claims data.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 2021;30:582–93.</w:t>
      </w:r>
    </w:p>
    <w:bookmarkEnd w:id="58"/>
    <w:bookmarkStart w:id="60" w:name="ref-elixhauser1998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r>
        <w:t xml:space="preserve">Elixhauser A, Steiner C, Harris DR,</w:t>
      </w:r>
      <w:r>
        <w:t xml:space="preserve"> </w:t>
      </w:r>
      <w:r>
        <w:rPr>
          <w:i/>
          <w:iCs/>
        </w:rPr>
        <w:t xml:space="preserve">et al.</w:t>
      </w:r>
      <w:r>
        <w:t xml:space="preserve"> Comorbidity measures for use with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1998;36:8–27. doi:</w:t>
      </w:r>
      <w:r>
        <w:t xml:space="preserve"> </w:t>
      </w:r>
      <w:hyperlink r:id="rId59">
        <w:r>
          <w:rPr>
            <w:rStyle w:val="Hyperlink"/>
          </w:rPr>
          <w:t xml:space="preserve">10.1097/00005650-199801000-00004</w:t>
        </w:r>
      </w:hyperlink>
    </w:p>
    <w:bookmarkEnd w:id="60"/>
    <w:bookmarkStart w:id="62" w:name="ref-PhysioNet-mimiciv-3.1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1">
        <w:r>
          <w:rPr>
            <w:rStyle w:val="Hyperlink"/>
          </w:rPr>
          <w:t xml:space="preserve">10.13026/kpb9-mt58</w:t>
        </w:r>
      </w:hyperlink>
    </w:p>
    <w:bookmarkEnd w:id="62"/>
    <w:bookmarkStart w:id="63" w:name="ref-johnson2023mimic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3"/>
    <w:bookmarkStart w:id="65" w:name="ref-PhysioNet2000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4">
        <w:r>
          <w:rPr>
            <w:rStyle w:val="Hyperlink"/>
          </w:rPr>
          <w:t xml:space="preserve">10.1161/01.cir.101.23.e215</w:t>
        </w:r>
      </w:hyperlink>
    </w:p>
    <w:bookmarkEnd w:id="65"/>
    <w:bookmarkEnd w:id="66"/>
    <w:p>
      <w:r>
        <w:br w:type="page"/>
      </w:r>
    </w:p>
    <w:bookmarkEnd w:id="67"/>
    <w:bookmarkStart w:id="68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The bars are not mutually exclusive.</w:t>
      </w:r>
      <w:r>
        <w:t xml:space="preserve"> </w:t>
      </w:r>
      <w:r>
        <w:t xml:space="preserve">“Different risk</w:t>
      </w:r>
      <w:r>
        <w:t xml:space="preserve"> </w:t>
      </w:r>
      <w:r>
        <w:t xml:space="preserve">profile”</w:t>
      </w:r>
      <w:r>
        <w:t xml:space="preserve"> </w:t>
      </w:r>
      <w:r>
        <w:t xml:space="preserve">is an aggregation measure indicating any difference in the comorbidity</w:t>
      </w:r>
      <w:r>
        <w:t xml:space="preserve"> </w:t>
      </w:r>
      <w:r>
        <w:t xml:space="preserve">classification or count between cumulative and current flagging.</w:t>
      </w:r>
      <w:r>
        <w:t xml:space="preserve"> </w:t>
      </w:r>
      <w:r>
        <w:t xml:space="preserve">The remaining bars describe selected components of that aggregate, including</w:t>
      </w:r>
      <w:r>
        <w:t xml:space="preserve"> </w:t>
      </w:r>
      <w:r>
        <w:t xml:space="preserve">encounters with no encounter-level comorbidity but at least one cumulative</w:t>
      </w:r>
      <w:r>
        <w:t xml:space="preserve"> </w:t>
      </w:r>
      <w:r>
        <w:t xml:space="preserve">comorbidity, classification or severity differences with the same comorbidity</w:t>
      </w:r>
      <w:r>
        <w:t xml:space="preserve"> </w:t>
      </w:r>
      <w:r>
        <w:t xml:space="preserve">count, and differences involving additional comorbidities. Panel A uses subjects</w:t>
      </w:r>
      <w:r>
        <w:t xml:space="preserve"> </w:t>
      </w:r>
      <w:r>
        <w:t xml:space="preserve">with at least two encounters and at least one non-initial encounter with a</w:t>
      </w:r>
      <w:r>
        <w:t xml:space="preserve"> </w:t>
      </w:r>
      <w:r>
        <w:t xml:space="preserve">comorbidity flagged under flag.method =</w:t>
      </w:r>
      <w:r>
        <w:t xml:space="preserve"> </w:t>
      </w:r>
      <w:r>
        <w:t xml:space="preserve">“cumulative”</w:t>
      </w:r>
      <w:r>
        <w:t xml:space="preserve"> </w:t>
      </w:r>
      <w:r>
        <w:t xml:space="preserve">as the denominator. Panel B</w:t>
      </w:r>
      <w:r>
        <w:t xml:space="preserve"> </w:t>
      </w:r>
      <w:r>
        <w:t xml:space="preserve">uses non-initial encounters with at least one comorbidity flagged under</w:t>
      </w:r>
      <w:r>
        <w:t xml:space="preserve"> </w:t>
      </w:r>
      <w:r>
        <w:t xml:space="preserve">flag.method =</w:t>
      </w:r>
      <w:r>
        <w:t xml:space="preserve"> </w:t>
      </w:r>
      <w:r>
        <w:t xml:space="preserve">“cumulative”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because each comparator supports fewer methods. The</w:t>
      </w:r>
      <w:r>
        <w:t xml:space="preserve"> </w:t>
      </w:r>
      <w:r>
        <w:t xml:space="preserve">times were recorded when building the supplement in R version 4.6.1 (2026-06-24) on</w:t>
      </w:r>
      <w:r>
        <w:t xml:space="preserve"> </w:t>
      </w:r>
      <w:r>
        <w:t xml:space="preserve">macOS Tahoe 26.5.2 with an Apple M5 Pro and 48.0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75.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0.7 to</w:t>
      </w:r>
      <w:r>
        <w:t xml:space="preserve"> </w:t>
      </w:r>
      <w:r>
        <w:t xml:space="preserve">3.5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16.8 seconds for Charlson,</w:t>
      </w:r>
      <w:r>
        <w:t xml:space="preserve"> </w:t>
      </w:r>
      <w:r>
        <w:t xml:space="preserve">27 seconds for Elixhauser. The MIMIC-IV code panel shows a</w:t>
      </w:r>
      <w:r>
        <w:t xml:space="preserve"> </w:t>
      </w:r>
      <w:r>
        <w:t xml:space="preserve">single Charlson result at about 30.8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71.6 seconds for current</w:t>
      </w:r>
      <w:r>
        <w:t xml:space="preserve"> </w:t>
      </w:r>
      <w:r>
        <w:t xml:space="preserve">flagging. The times were recorded when building the supplement in</w:t>
      </w:r>
      <w:r>
        <w:t xml:space="preserve"> </w:t>
      </w:r>
      <w:r>
        <w:t xml:space="preserve">R version 4.6.1 (2026-06-24) on macOS Tahoe 26.5.2 with an Apple M5 Pro and</w:t>
      </w:r>
      <w:r>
        <w:t xml:space="preserve"> </w:t>
      </w:r>
      <w:r>
        <w:t xml:space="preserve">48.0 GB RAM.</w:t>
      </w:r>
    </w:p>
    <w:bookmarkEnd w:id="68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2026-07-21T16:58:52Z</dcterms:created>
  <dcterms:modified xsi:type="dcterms:W3CDTF">2026-07-21T16:58:52Z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