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1880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148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inconsistently handles mixed</w:t>
      </w:r>
      <w:r>
        <w:t xml:space="preserve"> </w:t>
      </w:r>
      <w:r>
        <w:t xml:space="preserve">ICD-9/10 data, and operates at the encounter level, failing to reflect the</w:t>
      </w:r>
      <w:r>
        <w:t xml:space="preserve"> </w:t>
      </w:r>
      <w:r>
        <w:t xml:space="preserve">longitudinal nature of disease. We developed medicalcoder to address these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data. Outputs are consistent with published</w:t>
      </w:r>
      <w:r>
        <w:t xml:space="preserve"> </w:t>
      </w:r>
      <w:r>
        <w:t xml:space="preserve">reference implementations. Longitudinal flagging captures comorbidities missed</w:t>
      </w:r>
      <w:r>
        <w:t xml:space="preserve"> </w:t>
      </w:r>
      <w:r>
        <w:t xml:space="preserve">by encounter-level aggregation while accounting for present-on-admission or</w:t>
      </w:r>
      <w:r>
        <w:t xml:space="preserve"> </w:t>
      </w:r>
      <w:r>
        <w:t xml:space="preserve">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[15–17]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[5,10–14,18–21]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[22]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[23]</w:t>
      </w:r>
      <w:r>
        <w:t xml:space="preserve"> </w:t>
      </w:r>
      <w:r>
        <w:t xml:space="preserve">and dplyr</w:t>
      </w:r>
      <w:r>
        <w:t xml:space="preserve"> </w:t>
      </w:r>
      <w:r>
        <w:t xml:space="preserve">[24]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 Additional variants will be added as they are released.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[11,19]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[20,21]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[25–27]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 GitHub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and</w:t>
      </w:r>
      <w:r>
        <w:t xml:space="preserve"> </w:t>
      </w:r>
      <w:r>
        <w:t xml:space="preserve">Zenodo</w:t>
      </w:r>
      <w:r>
        <w:t xml:space="preserve">[20,21]</w:t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post-2022 AHRQ Elixhauser algorithms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the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4.5.3 (2026-03-11).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5" w:name="ref-hripcsak2013next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5"/>
    <w:bookmarkStart w:id="46" w:name="ref-casey2016using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6"/>
    <w:bookmarkStart w:id="47" w:name="ref-jensen2014temporal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7"/>
    <w:bookmarkStart w:id="48" w:name="ref-ahrq2017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48"/>
    <w:bookmarkStart w:id="50" w:name="ref-feinstein2018pc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johnson2022mimiccode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3"/>
    <w:bookmarkStart w:id="54" w:name="ref-watson2025trends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4"/>
    <w:bookmarkStart w:id="56" w:name="ref-r-data.table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6"/>
    <w:bookmarkStart w:id="58" w:name="ref-r-dplyr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58"/>
    <w:bookmarkStart w:id="60" w:name="ref-PhysioNet-mimiciv-3.1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9">
        <w:r>
          <w:rPr>
            <w:rStyle w:val="Hyperlink"/>
          </w:rPr>
          <w:t xml:space="preserve">10.13026/kpb9-mt58</w:t>
        </w:r>
      </w:hyperlink>
    </w:p>
    <w:bookmarkEnd w:id="60"/>
    <w:bookmarkStart w:id="61" w:name="ref-johnson2023mimic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1"/>
    <w:bookmarkStart w:id="63" w:name="ref-PhysioNet2000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2">
        <w:r>
          <w:rPr>
            <w:rStyle w:val="Hyperlink"/>
          </w:rPr>
          <w:t xml:space="preserve">10.1161/01.cir.101.23.e215</w:t>
        </w:r>
      </w:hyperlink>
    </w:p>
    <w:bookmarkEnd w:id="63"/>
    <w:bookmarkEnd w:id="64"/>
    <w:p>
      <w:r>
        <w:br w:type="page"/>
      </w:r>
    </w:p>
    <w:bookmarkEnd w:id="65"/>
    <w:bookmarkStart w:id="6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subjects with at least two</w:t>
      </w:r>
      <w:r>
        <w:t xml:space="preserve"> </w:t>
      </w:r>
      <w:r>
        <w:t xml:space="preserve">encounters and at least one comorbidity flagged on encounter 2 as the</w:t>
      </w:r>
      <w:r>
        <w:t xml:space="preserve"> </w:t>
      </w:r>
      <w:r>
        <w:t xml:space="preserve">denominator. Panel (B) uses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2 to</w:t>
      </w:r>
      <w:r>
        <w:t xml:space="preserve"> </w:t>
      </w:r>
      <w:r>
        <w:t xml:space="preserve">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49 seconds for Charlson,</w:t>
      </w:r>
      <w:r>
        <w:t xml:space="preserve"> </w:t>
      </w:r>
      <w:r>
        <w:t xml:space="preserve">78 seconds for Elixhauser. The MIMIC-IV code panel shows a</w:t>
      </w:r>
      <w:r>
        <w:t xml:space="preserve"> </w:t>
      </w:r>
      <w:r>
        <w:t xml:space="preserve">single Charlson result at about 113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155 seconds for current</w:t>
      </w:r>
      <w:r>
        <w:t xml:space="preserve"> </w:t>
      </w:r>
      <w:r>
        <w:t xml:space="preserve">flagging.</w:t>
      </w:r>
    </w:p>
    <w:bookmarkEnd w:id="66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tests, which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2026-03-26T16:45:48Z</dcterms:created>
  <dcterms:modified xsi:type="dcterms:W3CDTF">2026-03-26T16:45:48Z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