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1813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3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150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characterization. However, existing software is fragmented, inconsistently</w:t>
      </w:r>
      <w:r>
        <w:t xml:space="preserve"> </w:t>
      </w:r>
      <w:r>
        <w:t xml:space="preserve">handles mixed ICD-9/10 data, and typically operates at the encounter level. We</w:t>
      </w:r>
      <w:r>
        <w:t xml:space="preserve"> </w:t>
      </w:r>
      <w:r>
        <w:t xml:space="preserve">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R package with an internal ICD database and unified</w:t>
      </w:r>
      <w:r>
        <w:t xml:space="preserve"> </w:t>
      </w:r>
      <w:r>
        <w:t xml:space="preserve">interface for applying multiple variants of the Charlson, Elixhauser, and</w:t>
      </w:r>
      <w:r>
        <w:t xml:space="preserve"> </w:t>
      </w:r>
      <w:r>
        <w:t xml:space="preserve">Pediatric Complex Chronic Conditions algorithms. It supports full and compact</w:t>
      </w:r>
      <w:r>
        <w:t xml:space="preserve"> </w:t>
      </w:r>
      <w:r>
        <w:t xml:space="preserve">ICD codes, mixed ICD versions, present-on-admission and primary diagnosis</w:t>
      </w:r>
      <w:r>
        <w:t xml:space="preserve"> </w:t>
      </w:r>
      <w:r>
        <w:t xml:space="preserve">indicators, and both 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3.5.0. No additional packages,</w:t>
      </w:r>
      <w:r>
        <w:t xml:space="preserve"> </w:t>
      </w:r>
      <w:r>
        <w:t xml:space="preserve">internet access, or external data downloads are required. Outputs are consistent</w:t>
      </w:r>
      <w:r>
        <w:t xml:space="preserve"> </w:t>
      </w:r>
      <w:r>
        <w:t xml:space="preserve">with published reference implementations. Longitudinal flagging captured comorbidities not</w:t>
      </w:r>
      <w:r>
        <w:t xml:space="preserve"> </w:t>
      </w:r>
      <w:r>
        <w:t xml:space="preserve">identified through naïve encounter-level aggregation for algorithms</w:t>
      </w:r>
      <w:r>
        <w:t xml:space="preserve"> </w:t>
      </w:r>
      <w:r>
        <w:t xml:space="preserve">incorporating present-on-admission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190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has been validated against reference implementations. It helps researchers apply</w:t>
            </w:r>
            <w:r>
              <w:t xml:space="preserve"> </w:t>
            </w:r>
            <w:r>
              <w:t xml:space="preserve">comorbidity algorithms more accurately and consistently, improving the quality</w:t>
            </w:r>
            <w:r>
              <w:t xml:space="preserve"> </w:t>
            </w:r>
            <w:r>
              <w:t xml:space="preserve">and reproducibility of studies using electronic health record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 research,</w:t>
      </w:r>
      <w:r>
        <w:t xml:space="preserve"> </w:t>
      </w:r>
      <w:r>
        <w:t xml:space="preserve">comorbidity software typically operates at the encounter level. 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 (POA)</w:t>
      </w:r>
      <w:r>
        <w:t xml:space="preserve"> </w:t>
      </w:r>
      <w:r>
        <w:t xml:space="preserve">indicators and exemptions, it does not propagate conditions across encounters</w:t>
      </w:r>
      <w:r>
        <w:t xml:space="preserve"> </w:t>
      </w:r>
      <w:r>
        <w:t xml:space="preserve">within a patient record. Conditions that arise during acute care and should not</w:t>
      </w:r>
      <w:r>
        <w:t xml:space="preserve"> </w:t>
      </w:r>
      <w:r>
        <w:t xml:space="preserve">be considered comorbidities for the present encounter are handled via POA</w:t>
      </w:r>
      <w:r>
        <w:t xml:space="preserve"> </w:t>
      </w:r>
      <w:r>
        <w:t xml:space="preserve">indicators. However, unless the relevant ICD codes are flagged as POA on</w:t>
      </w:r>
      <w:r>
        <w:t xml:space="preserve"> </w:t>
      </w:r>
      <w:r>
        <w:t xml:space="preserve">subsequent encounters, those comorbidities will not be correctly classified.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developed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that includes a comprehensive internal</w:t>
      </w:r>
      <w:r>
        <w:t xml:space="preserve"> </w:t>
      </w:r>
      <w:r>
        <w:t xml:space="preserve">ICD database capable of applying multiple comorbidity algorithms to clinical</w:t>
      </w:r>
      <w:r>
        <w:t xml:space="preserve"> </w:t>
      </w:r>
      <w:r>
        <w:t xml:space="preserve">datasets, and requires no external dependencies, internet access, or external</w:t>
      </w:r>
      <w:r>
        <w:t xml:space="preserve"> </w:t>
      </w:r>
      <w:r>
        <w:t xml:space="preserve">data resources.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8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 with limited or no internet access</w:t>
      </w:r>
      <w:r>
        <w:t xml:space="preserve"> </w:t>
      </w:r>
      <w:r>
        <w:t xml:space="preserve">and tightly controled system settings and software. No external namespaces are imported; R ≥</w:t>
      </w:r>
      <w:r>
        <w:t xml:space="preserve"> </w:t>
      </w:r>
      <w:r>
        <w:t xml:space="preserve">3.5.0 is the only required dependency, reflecting changes to R’s serialization</w:t>
      </w:r>
      <w:r>
        <w:t xml:space="preserve"> </w:t>
      </w:r>
      <w:r>
        <w:t xml:space="preserve">format introduced in that version</w:t>
      </w:r>
      <w:r>
        <w:rPr>
          <w:rStyle w:val="FootnoteReference"/>
        </w:rPr>
        <w:footnoteReference w:id="13"/>
      </w:r>
      <w:r>
        <w:t xml:space="preserve">. Several packages are suggested for enhanced</w:t>
      </w:r>
      <w:r>
        <w:t xml:space="preserve"> </w:t>
      </w:r>
      <w:r>
        <w:t xml:space="preserve">performance (data.table</w:t>
      </w:r>
      <w:r>
        <w:t xml:space="preserve"> </w:t>
      </w:r>
      <w:r>
        <w:t xml:space="preserve">[15]</w:t>
      </w:r>
      <w:r>
        <w:t xml:space="preserve"> </w:t>
      </w:r>
      <w:r>
        <w:t xml:space="preserve">and dplyr</w:t>
      </w:r>
      <w:r>
        <w:t xml:space="preserve"> </w:t>
      </w:r>
      <w:r>
        <w:t xml:space="preserve">[16]</w:t>
      </w:r>
      <w:r>
        <w:t xml:space="preserve">) and for testing</w:t>
      </w:r>
      <w:r>
        <w:t xml:space="preserve"> </w:t>
      </w:r>
      <w:r>
        <w:t xml:space="preserve">and documentation, but are not required for installation or use.</w:t>
      </w:r>
    </w:p>
    <w:p>
      <w:pPr>
        <w:pStyle w:val="BodyText"/>
      </w:pPr>
      <w:r>
        <w:t xml:space="preserve">The internal ICD database includes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2008 - 2019)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denoted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</w:t>
      </w:r>
    </w:p>
    <w:p>
      <w:pPr>
        <w:pStyle w:val="BodyText"/>
      </w:pPr>
      <w:r>
        <w:t xml:space="preserve">A comprehensive test suite runs as a GitHub Action and on the Comprehensive R</w:t>
      </w:r>
      <w:r>
        <w:t xml:space="preserve"> </w:t>
      </w:r>
      <w:r>
        <w:t xml:space="preserve">Archive Network (CRAN). An additional test suite runs on demand for all released</w:t>
      </w:r>
      <w:r>
        <w:t xml:space="preserve"> </w:t>
      </w:r>
      <w:r>
        <w:t xml:space="preserve">versions of R ≥ 3.5.0 without suggested packages, and for versions ≥</w:t>
      </w:r>
      <w:r>
        <w:t xml:space="preserve"> </w:t>
      </w:r>
      <w:r>
        <w:t xml:space="preserve">4.4.0 with suggested packages</w:t>
      </w:r>
      <w:r>
        <w:rPr>
          <w:rStyle w:val="FootnoteReference"/>
        </w:rPr>
        <w:footnoteReference w:id="14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[11,17]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15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16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 MIT-LCP/mimic-code/mimic-iv</w:t>
      </w:r>
      <w:r>
        <w:t xml:space="preserve">[18]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[19–21]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 following examples and the supplement. The MIMIC-IV v3.1 dataset is a large,</w:t>
      </w:r>
      <w:r>
        <w:t xml:space="preserve"> </w:t>
      </w:r>
      <w:r>
        <w:t xml:space="preserve">publicly available clinical database used for method development, validation,</w:t>
      </w:r>
      <w:r>
        <w:t xml:space="preserve"> </w:t>
      </w:r>
      <w:r>
        <w:t xml:space="preserve">and reproducible research in clinical informatics and 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</w:t>
      </w:r>
      <w:r>
        <w:t xml:space="preserve"> </w:t>
      </w:r>
      <w:r>
        <w:t xml:space="preserve">GitHub</w:t>
      </w:r>
      <w:r>
        <w:rPr>
          <w:rStyle w:val="FootnoteReference"/>
        </w:rPr>
        <w:footnoteReference w:id="17"/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18"/>
    <w:bookmarkStart w:id="19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ICD-9 and ICD-10 codes.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17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see Figure 1.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):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invariants, whereas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arguments reference columns encoding row-level</w:t>
      </w:r>
      <w:r>
        <w:t xml:space="preserve"> </w:t>
      </w:r>
      <w:r>
        <w:t xml:space="preserve">variation. This avoids creating constant-valued columns when dataset-level</w:t>
      </w:r>
      <w:r>
        <w:t xml:space="preserve"> </w:t>
      </w:r>
      <w:r>
        <w:t xml:space="preserve">properties are already known while still supporting heterogeneous datasets. When</w:t>
      </w:r>
      <w:r>
        <w:t xml:space="preserve"> </w:t>
      </w:r>
      <w:r>
        <w:t xml:space="preserve">both forms are supplied, the column-based form takes precedence with a warning.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</w:t>
      </w:r>
      <w:r>
        <w:t xml:space="preserve"> </w:t>
      </w:r>
      <w:r>
        <w:t xml:space="preserve">encounter-level flags. When flag.method =</w:t>
      </w:r>
      <w:r>
        <w:t xml:space="preserve"> </w:t>
      </w:r>
      <w:r>
        <w:t xml:space="preserve">“current”</w:t>
      </w:r>
      <w:r>
        <w:t xml:space="preserve">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is optional; if</w:t>
      </w:r>
      <w:r>
        <w:t xml:space="preserve"> </w:t>
      </w:r>
      <w:r>
        <w:t xml:space="preserve">omitted, the entire dataset is treated as a single encounter. For longitudinal</w:t>
      </w:r>
      <w:r>
        <w:t xml:space="preserve"> </w:t>
      </w:r>
      <w:r>
        <w:t xml:space="preserve">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 at least two</w:t>
      </w:r>
      <w:r>
        <w:t xml:space="preserve"> </w:t>
      </w:r>
      <w:r>
        <w:t xml:space="preserve">variables: the leading variables define the patient and the final variable</w:t>
      </w:r>
      <w:r>
        <w:t xml:space="preserve"> </w:t>
      </w:r>
      <w:r>
        <w:t xml:space="preserve">defines within-patient order for carrying ICD codes forward across encounters.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 data.frame with class consistent with</w:t>
      </w:r>
      <w:r>
        <w:t xml:space="preserve"> </w:t>
      </w:r>
      <w:r>
        <w:t xml:space="preserve">the input, containing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one indicator column per comorbidity, and</w:t>
      </w:r>
      <w:r>
        <w:t xml:space="preserve"> </w:t>
      </w:r>
      <w:r>
        <w:t xml:space="preserve">summary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also provides an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to generate count and percentage tables (Table 1).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Flagging of comorbidities at the encounter-level only assumes all relevant ICD</w:t>
      </w:r>
      <w:r>
        <w:t xml:space="preserve"> </w:t>
      </w:r>
      <w:r>
        <w:t xml:space="preserve">codes are reported on all encounters and correctly marked as POA. This is</w:t>
      </w:r>
      <w:r>
        <w:t xml:space="preserve"> </w:t>
      </w:r>
      <w:r>
        <w:t xml:space="preserve">rarely the case. Accumulation of of encounter-level flags is insufficient to</w:t>
      </w:r>
      <w:r>
        <w:t xml:space="preserve"> </w:t>
      </w:r>
      <w:r>
        <w:t xml:space="preserve">capture comorbidities and/or the severity of disease.</w:t>
      </w:r>
    </w:p>
    <w:p>
      <w:pPr>
        <w:pStyle w:val="BodyText"/>
      </w:pPr>
      <w:r>
        <w:t xml:space="preserve">Figure 2 shows the impact on risk profiles for subjects and encounters by</w:t>
      </w:r>
      <w:r>
        <w:t xml:space="preserve"> </w:t>
      </w:r>
      <w:r>
        <w:t xml:space="preserve">flagging method and algorithm. For example,</w:t>
      </w:r>
      <w:r>
        <w:t xml:space="preserve"> </w:t>
      </w:r>
      <w:r>
        <w:t xml:space="preserve">For 92,536 subjects with at least two encounters and at least one Elixhauser</w:t>
      </w:r>
      <w:r>
        <w:t xml:space="preserve"> </w:t>
      </w:r>
      <w:r>
        <w:t xml:space="preserve">comorbidity flagged on encounter 2 via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,</w:t>
      </w:r>
      <w:r>
        <w:t xml:space="preserve"> </w:t>
      </w:r>
      <w:r>
        <w:t xml:space="preserve">68,085 (73.6%) subjects have at least one encounter with a different risk profile</w:t>
      </w:r>
      <w:r>
        <w:t xml:space="preserve"> </w:t>
      </w:r>
      <w:r>
        <w:t xml:space="preserve">(different classification of comorbidities and/or count of comorbidities)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</w:t>
      </w:r>
      <w:r>
        <w:t xml:space="preserve"> </w:t>
      </w:r>
      <w:r>
        <w:t xml:space="preserve">10,553 (11.4%) subjects had at least one encouter with zero comorbidities per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and at least one comorbidity with</w:t>
      </w:r>
      <w:r>
        <w:t xml:space="preserve"> </w:t>
      </w:r>
      <w:r>
        <w:rPr>
          <w:rStyle w:val="VerbatimChar"/>
        </w:rPr>
        <w:t xml:space="preserve">flag.method = 'cumulative'</w:t>
      </w:r>
      <w:r>
        <w:t xml:space="preserve">.</w:t>
      </w:r>
    </w:p>
    <w:p>
      <w:pPr>
        <w:pStyle w:val="BodyText"/>
      </w:pPr>
      <w:r>
        <w:t xml:space="preserve">Naïve post hoc accumulation of encounter-level flags can miss conditions. PCCC</w:t>
      </w:r>
      <w:r>
        <w:t xml:space="preserve"> </w:t>
      </w:r>
      <w:r>
        <w:t xml:space="preserve">v3 conditions depend on whether technology-dependent codes co-occur (or</w:t>
      </w:r>
      <w:r>
        <w:t xml:space="preserve"> </w:t>
      </w:r>
      <w:r>
        <w:t xml:space="preserve">eventually co-occur) with non–technology-dependent codes (Table 2). Elixhauser</w:t>
      </w:r>
      <w:r>
        <w:t xml:space="preserve"> </w:t>
      </w:r>
      <w:r>
        <w:t xml:space="preserve">from AHRQ post 2022 account for POA status of ICD codes (example in Supplement.)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The supplement details comparisons with MIMIC-IV code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Charlson flags matched</w:t>
      </w:r>
      <w:r>
        <w:t xml:space="preserve"> </w:t>
      </w:r>
      <w:r>
        <w:t xml:space="preserve">MIMIC-IV code, and Elixhauser flags matched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. For Charlson,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missed malignancies related to ICD-10-CM codes C4A.x; for PCCC</w:t>
      </w:r>
      <w:r>
        <w:t xml:space="preserve"> </w:t>
      </w:r>
      <w:r>
        <w:t xml:space="preserve">v2,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mapping errors.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3. The package GitHub has details on benchmarking</w:t>
      </w:r>
      <w:r>
        <w:t xml:space="preserve"> </w:t>
      </w:r>
      <w:r>
        <w:t xml:space="preserve">by input data class and size.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also provides ICD utility functions for data preparation and</w:t>
      </w:r>
      <w:r>
        <w:t xml:space="preserve"> </w:t>
      </w:r>
      <w:r>
        <w:t xml:space="preserve">validation.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validates candidate codes across full and compact</w:t>
      </w:r>
      <w:r>
        <w:t xml:space="preserve"> </w:t>
      </w:r>
      <w:r>
        <w:t xml:space="preserve">representations and mixed ICD-9/ICD-10 datasets.</w:t>
      </w:r>
    </w:p>
    <w:bookmarkEnd w:id="19"/>
    <w:bookmarkStart w:id="2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and/or tightly controlled software installations. Relying only</w:t>
      </w:r>
      <w:r>
        <w:t xml:space="preserve"> </w:t>
      </w:r>
      <w:r>
        <w:t xml:space="preserve">on 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 3.5.0</w:t>
      </w:r>
      <w:r>
        <w:t xml:space="preserve"> </w:t>
      </w:r>
      <w:r>
        <w:t xml:space="preserve">is available. Additionally, R versions and namespace dependency trees are</w:t>
      </w:r>
      <w:r>
        <w:t xml:space="preserve"> </w:t>
      </w:r>
      <w:r>
        <w:t xml:space="preserve">common barriers to reproducible research.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with no additional</w:t>
      </w:r>
      <w:r>
        <w:t xml:space="preserve"> </w:t>
      </w:r>
      <w:r>
        <w:t xml:space="preserve">namespace requirements, avoids dependency version conflicts that often undermine</w:t>
      </w:r>
      <w:r>
        <w:t xml:space="preserve"> </w:t>
      </w:r>
      <w:r>
        <w:t xml:space="preserve">reproducibility, addressing a common but under-discussed barrier to reproducible</w:t>
      </w:r>
      <w:r>
        <w:t xml:space="preserve"> </w:t>
      </w:r>
      <w:r>
        <w:t xml:space="preserve">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clinical reality.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The included ICD utility functions also support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 when</w:t>
      </w:r>
      <w:r>
        <w:t xml:space="preserve"> </w:t>
      </w:r>
      <w:r>
        <w:t xml:space="preserve">defining cohorts or filtering diagnosis and procedure codes in large clinical</w:t>
      </w:r>
      <w:r>
        <w:t xml:space="preserve"> </w:t>
      </w:r>
      <w:r>
        <w:t xml:space="preserve">datasets.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 Automated testing of the</w:t>
      </w:r>
      <w:r>
        <w:t xml:space="preserve"> </w:t>
      </w:r>
      <w:r>
        <w:t xml:space="preserve">internal and user-facing functions (97% code lines covered 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v0.8.0) ensures consistent and reliable behavior of the package.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20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patient/encounters,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1.9.35</w:t>
      </w:r>
      <w:r>
        <w:t xml:space="preserve"> </w:t>
      </w:r>
      <w:r>
        <w:t xml:space="preserve">(https://quarto.org/) and R version 4.5.2 (2025-10-31). All R code, materials,</w:t>
      </w:r>
      <w:r>
        <w:t xml:space="preserve"> </w:t>
      </w:r>
      <w:r>
        <w:t xml:space="preserve">and dependencies can be found at</w:t>
      </w:r>
      <w:r>
        <w:t xml:space="preserve"> </w:t>
      </w:r>
      <w:r>
        <w:t xml:space="preserve">https://github.com/dewittpe/medicalcoder-jamiaopen/.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JAF, SR, MR, and TDB all contributed to the conception,</w:t>
      </w:r>
      <w:r>
        <w:t xml:space="preserve"> </w:t>
      </w:r>
      <w:r>
        <w:t xml:space="preserve">design, and interpretation and provided important feedback. TDB provided</w:t>
      </w:r>
      <w:r>
        <w:t xml:space="preserve"> </w:t>
      </w:r>
      <w:r>
        <w:t xml:space="preserve">funding. All authors critically reviewed the manuscript for important</w:t>
      </w:r>
      <w:r>
        <w:t xml:space="preserve"> </w:t>
      </w:r>
      <w:r>
        <w:t xml:space="preserve">intellectual content 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20"/>
    <w:bookmarkEnd w:id="21"/>
    <w:bookmarkStart w:id="59" w:name="references"/>
    <w:p>
      <w:pPr>
        <w:pStyle w:val="Heading1"/>
      </w:pPr>
      <w:r>
        <w:t xml:space="preserve">References</w:t>
      </w:r>
    </w:p>
    <w:bookmarkStart w:id="58" w:name="refs"/>
    <w:bookmarkStart w:id="23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22">
        <w:r>
          <w:rPr>
            <w:rStyle w:val="Hyperlink"/>
          </w:rPr>
          <w:t xml:space="preserve">10.1097/01.mlr.0000182534.19832.83</w:t>
        </w:r>
      </w:hyperlink>
    </w:p>
    <w:bookmarkEnd w:id="23"/>
    <w:bookmarkStart w:id="25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24">
        <w:r>
          <w:rPr>
            <w:rStyle w:val="Hyperlink"/>
          </w:rPr>
          <w:t xml:space="preserve">10.1093/aje/kwq433</w:t>
        </w:r>
      </w:hyperlink>
    </w:p>
    <w:bookmarkEnd w:id="25"/>
    <w:bookmarkStart w:id="27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6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7"/>
    <w:bookmarkStart w:id="29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8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9"/>
    <w:bookmarkStart w:id="31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30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31"/>
    <w:bookmarkStart w:id="33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2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33"/>
    <w:bookmarkStart w:id="34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4"/>
    <w:bookmarkStart w:id="35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5"/>
    <w:bookmarkStart w:id="36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6"/>
    <w:bookmarkStart w:id="38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37">
        <w:r>
          <w:rPr>
            <w:rStyle w:val="Hyperlink"/>
          </w:rPr>
          <w:t xml:space="preserve">10.21105/joss.00648</w:t>
        </w:r>
      </w:hyperlink>
    </w:p>
    <w:bookmarkEnd w:id="38"/>
    <w:bookmarkStart w:id="40" w:name="ref-r-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2025.</w:t>
      </w:r>
    </w:p>
    <w:bookmarkEnd w:id="40"/>
    <w:bookmarkStart w:id="41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1"/>
    <w:bookmarkStart w:id="43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2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3"/>
    <w:bookmarkStart w:id="45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4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5"/>
    <w:bookmarkStart w:id="47" w:name="ref-r-data.table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6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47"/>
    <w:bookmarkStart w:id="49" w:name="ref-r-dplyr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8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49"/>
    <w:bookmarkStart w:id="51" w:name="ref-feinstein2018pccc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50">
        <w:r>
          <w:rPr>
            <w:rStyle w:val="Hyperlink"/>
          </w:rPr>
          <w:t xml:space="preserve">10.1001/jamapediatrics.2018.0256</w:t>
        </w:r>
      </w:hyperlink>
    </w:p>
    <w:bookmarkEnd w:id="51"/>
    <w:bookmarkStart w:id="52" w:name="ref-johnson2018mimi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2"/>
    <w:bookmarkStart w:id="54" w:name="ref-PhysioNet-mimiciv-3.1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53">
        <w:r>
          <w:rPr>
            <w:rStyle w:val="Hyperlink"/>
          </w:rPr>
          <w:t xml:space="preserve">10.13026/kpb9-mt58</w:t>
        </w:r>
      </w:hyperlink>
    </w:p>
    <w:bookmarkEnd w:id="54"/>
    <w:bookmarkStart w:id="55" w:name="ref-johnson2023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55"/>
    <w:bookmarkStart w:id="57" w:name="ref-PhysioNet2000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56">
        <w:r>
          <w:rPr>
            <w:rStyle w:val="Hyperlink"/>
          </w:rPr>
          <w:t xml:space="preserve">10.1161/01.cir.101.23.e215</w:t>
        </w:r>
      </w:hyperlink>
    </w:p>
    <w:bookmarkEnd w:id="57"/>
    <w:bookmarkEnd w:id="58"/>
    <w:p>
      <w:r>
        <w:br w:type="page"/>
      </w:r>
    </w:p>
    <w:bookmarkEnd w:id="59"/>
    <w:bookmarkStart w:id="60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 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Percent of subjects and encounters in the MIMIC-IV data set with</w:t>
      </w:r>
      <w:r>
        <w:t xml:space="preserve"> </w:t>
      </w:r>
      <w:r>
        <w:t xml:space="preserve">different comorbidity profiles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Panel (A) uses as its denominator subjects with at</w:t>
      </w:r>
      <w:r>
        <w:t xml:space="preserve"> </w:t>
      </w:r>
      <w:r>
        <w:t xml:space="preserve">least two encounters and at least one comorbidity flagged on encounter 2. Panel</w:t>
      </w:r>
      <w:r>
        <w:t xml:space="preserve"> </w:t>
      </w:r>
      <w:r>
        <w:t xml:space="preserve">(B) uses as its denominator non-initial encounters with at least one</w:t>
      </w:r>
      <w:r>
        <w:t xml:space="preserve"> </w:t>
      </w:r>
      <w:r>
        <w:t xml:space="preserve">comorbidity flagged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 ALT TEXT:</w:t>
      </w:r>
      <w:r>
        <w:t xml:space="preserve"> </w:t>
      </w:r>
      <w:r>
        <w:t xml:space="preserve">Two-panel grouped bar chart comparing how cumulative longitudinal flagging</w:t>
      </w:r>
      <w:r>
        <w:t xml:space="preserve"> </w:t>
      </w:r>
      <w:r>
        <w:t xml:space="preserve">changes comorbidity results relative to encounter-level current flagging for</w:t>
      </w:r>
      <w:r>
        <w:t xml:space="preserve"> </w:t>
      </w:r>
      <w:r>
        <w:t xml:space="preserve">three algorithms: Charlson, Elixhauser, and PCCC v3.1. Panel A shows the</w:t>
      </w:r>
      <w:r>
        <w:t xml:space="preserve"> </w:t>
      </w:r>
      <w:r>
        <w:t xml:space="preserve">percentage of subjects and Panel B shows the percentage of encounters in four</w:t>
      </w:r>
      <w:r>
        <w:t xml:space="preserve"> </w:t>
      </w:r>
      <w:r>
        <w:t xml:space="preserve">categories: different risk profile, zero encounter-level comorbidities but at</w:t>
      </w:r>
      <w:r>
        <w:t xml:space="preserve"> </w:t>
      </w:r>
      <w:r>
        <w:t xml:space="preserve">least one longitudinal comorbidity, only differences in classification, and</w:t>
      </w:r>
      <w:r>
        <w:t xml:space="preserve"> </w:t>
      </w:r>
      <w:r>
        <w:t xml:space="preserve">differences in classification and/or additional comorbidities. Across both</w:t>
      </w:r>
      <w:r>
        <w:t xml:space="preserve"> </w:t>
      </w:r>
      <w:r>
        <w:t xml:space="preserve">panels, the largest percentages are for different risk profile and for</w:t>
      </w:r>
      <w:r>
        <w:t xml:space="preserve"> </w:t>
      </w:r>
      <w:r>
        <w:t xml:space="preserve">differences in classification and/or additional comorbidities, with Elixhauser</w:t>
      </w:r>
      <w:r>
        <w:t xml:space="preserve"> </w:t>
      </w:r>
      <w:r>
        <w:t xml:space="preserve">generally highest, PCCC v3.1 intermediate, and Charlson lowest; the other two</w:t>
      </w:r>
      <w:r>
        <w:t xml:space="preserve"> </w:t>
      </w:r>
      <w:r>
        <w:t xml:space="preserve">categories are much smaller.</w:t>
      </w:r>
    </w:p>
    <w:p>
      <w:pPr>
        <w:pStyle w:val="BodyText"/>
      </w:pPr>
      <w:r>
        <w:rPr>
          <w:b/>
          <w:bCs/>
        </w:rPr>
        <w:t xml:space="preserve">Figure 3:</w:t>
      </w:r>
      <w:r>
        <w:t xml:space="preserve"> </w:t>
      </w:r>
      <w:r>
        <w:t xml:space="preserve">The median time (in seconds; bar height), and IQR (error bars),</w:t>
      </w:r>
      <w:r>
        <w:t xml:space="preserve"> </w:t>
      </w:r>
      <w:r>
        <w:t xml:space="preserve">required to flag comorbidities in the MIMIC-IV v3.1 dataset</w:t>
      </w:r>
      <w:r>
        <w:t xml:space="preserve"> </w:t>
      </w:r>
      <w:r>
        <w:t xml:space="preserve">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 for N = 10 iterations.</w:t>
      </w:r>
      <w:r>
        <w:t xml:space="preserve"> </w:t>
      </w:r>
      <w:r>
        <w:t xml:space="preserve">The MIMIC-IV code time is based on running RSQLite code for an in-memory</w:t>
      </w:r>
      <w:r>
        <w:t xml:space="preserve"> </w:t>
      </w:r>
      <w:r>
        <w:t xml:space="preserve">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</w:t>
      </w:r>
      <w:r>
        <w:t xml:space="preserve"> </w:t>
      </w:r>
      <w:r>
        <w:t xml:space="preserve">aggregations to handle the mixed use of ICD-9 and ICD-10 within the MIMIC-IV</w:t>
      </w:r>
      <w:r>
        <w:t xml:space="preserve"> </w:t>
      </w:r>
      <w:r>
        <w:t xml:space="preserve">dataset. Applying each of the comorbidity algorithms and flagging methods</w:t>
      </w:r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 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</w:t>
      </w:r>
      <w:r>
        <w:t xml:space="preserve"> </w:t>
      </w:r>
      <w:r>
        <w:t xml:space="preserve">illustrating the limited comorbidities method provided by the utility. The</w:t>
      </w:r>
      <w:r>
        <w:t xml:space="preserve"> </w:t>
      </w:r>
      <w:r>
        <w:t xml:space="preserve">times were recorded when building the supplement in R version 4.5.2 (2025-10-31) on</w:t>
      </w:r>
      <w:r>
        <w:t xml:space="preserve"> </w:t>
      </w:r>
      <w:r>
        <w:t xml:space="preserve">macOS Sonoma 14.8.3 with a Intel(R) Core(TM) i9-9880H CPU @ 2.30GHz and 16.0 GB RAM.</w:t>
      </w:r>
    </w:p>
    <w:p>
      <w:pPr>
        <w:pStyle w:val="BodyText"/>
      </w:pPr>
      <w:r>
        <w:rPr>
          <w:b/>
          <w:bCs/>
        </w:rPr>
        <w:t xml:space="preserve">Figure 3 ALT TEXT:</w:t>
      </w:r>
      <w:r>
        <w:t xml:space="preserve"> </w:t>
      </w:r>
      <w:r>
        <w:t xml:space="preserve">Four-panel grouped bar chart showing median time in seconds to flag comorbidities in</w:t>
      </w:r>
      <w:r>
        <w:t xml:space="preserve"> </w:t>
      </w:r>
      <w:r>
        <w:t xml:space="preserve">the MIMIC-IV v3.1 dataset (N = 10 iterations). 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</w:t>
      </w:r>
      <w:r>
        <w:t xml:space="preserve"> </w:t>
      </w:r>
      <w:r>
        <w:t xml:space="preserve">algorithms: Charlson, Elixhauser, PCCC version 2.0, and PCCC version 3.1. The</w:t>
      </w:r>
      <w:r>
        <w:t xml:space="preserve"> </w:t>
      </w:r>
      <w:r>
        <w:t xml:space="preserve">y-axis is time in seconds from 0 to about 160. Blue bars indicate cumulative</w:t>
      </w:r>
      <w:r>
        <w:t xml:space="preserve"> </w:t>
      </w:r>
      <w:r>
        <w:t xml:space="preserve">flagging and maroon bars indicate current 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</w:t>
      </w:r>
      <w:r>
        <w:t xml:space="preserve"> </w:t>
      </w:r>
      <w:r>
        <w:t xml:space="preserve">cumulative bars as it is the only utility natively supporting cumulative</w:t>
      </w:r>
      <w:r>
        <w:t xml:space="preserve"> </w:t>
      </w:r>
      <w:r>
        <w:t xml:space="preserve">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 every comparison shown, with times</w:t>
      </w:r>
      <w:r>
        <w:t xml:space="preserve"> </w:t>
      </w:r>
      <w:r>
        <w:t xml:space="preserve">of about 3 to 14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54 seconds for current Charlson, 76 seconds</w:t>
      </w:r>
      <w:r>
        <w:t xml:space="preserve"> </w:t>
      </w:r>
      <w:r>
        <w:t xml:space="preserve">for current Elixhauser. The MIMIC-IV code panel shows a single current Charlson</w:t>
      </w:r>
      <w:r>
        <w:t xml:space="preserve"> </w:t>
      </w:r>
      <w:r>
        <w:t xml:space="preserve">result at about 106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 shows only PCCC version 2.0, with</w:t>
      </w:r>
      <w:r>
        <w:t xml:space="preserve"> </w:t>
      </w:r>
      <w:r>
        <w:t xml:space="preserve">about 152 seconds for current flagging.</w:t>
      </w:r>
    </w:p>
    <w:bookmarkEnd w:id="60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https://cran.r-project.org/src/base/NEWS.3#:~:text=R%20has%20new,to%20version%203.5.0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 are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i.org/10.1001/jamanetworkopen.2024.20579" TargetMode="External" /><Relationship Type="http://schemas.openxmlformats.org/officeDocument/2006/relationships/hyperlink" Id="rId50" Target="https://doi.org/10.1001/jamapediatrics.2018.0256" TargetMode="External" /><Relationship Type="http://schemas.openxmlformats.org/officeDocument/2006/relationships/hyperlink" Id="rId24" Target="https://doi.org/10.1093/aje/kwq433" TargetMode="External" /><Relationship Type="http://schemas.openxmlformats.org/officeDocument/2006/relationships/hyperlink" Id="rId22" Target="https://doi.org/10.1097/01.mlr.0000182534.19832.83" TargetMode="External" /><Relationship Type="http://schemas.openxmlformats.org/officeDocument/2006/relationships/hyperlink" Id="rId56" Target="https://doi.org/10.1161/01.cir.101.23.e215" TargetMode="External" /><Relationship Type="http://schemas.openxmlformats.org/officeDocument/2006/relationships/hyperlink" Id="rId28" Target="https://doi.org/10.1186/1471-2431-14-199" TargetMode="External" /><Relationship Type="http://schemas.openxmlformats.org/officeDocument/2006/relationships/hyperlink" Id="rId53" Target="https://doi.org/10.13026/kpb9-mt58" TargetMode="External" /><Relationship Type="http://schemas.openxmlformats.org/officeDocument/2006/relationships/hyperlink" Id="rId37" Target="https://doi.org/10.21105/joss.00648" TargetMode="External" /><Relationship Type="http://schemas.openxmlformats.org/officeDocument/2006/relationships/hyperlink" Id="rId46" Target="https://doi.org/10.32614/CRAN.package.data.table" TargetMode="External" /><Relationship Type="http://schemas.openxmlformats.org/officeDocument/2006/relationships/hyperlink" Id="rId48" Target="https://doi.org/10.32614/CRAN.package.dplyr" TargetMode="External" /><Relationship Type="http://schemas.openxmlformats.org/officeDocument/2006/relationships/hyperlink" Id="rId42" Target="https://doi.org/10.32614/CRAN.package.icdcomorbid" TargetMode="External" /><Relationship Type="http://schemas.openxmlformats.org/officeDocument/2006/relationships/hyperlink" Id="rId44" Target="https://doi.org/10.32614/CRAN.package.multimorbidity" TargetMode="External" /><Relationship Type="http://schemas.openxmlformats.org/officeDocument/2006/relationships/hyperlink" Id="rId39" Target="https://github.com/CUD2V/pccc" TargetMode="External" /><Relationship Type="http://schemas.openxmlformats.org/officeDocument/2006/relationships/hyperlink" Id="rId30" Target="https://hcup-us.ahrq.gov/toolssoftware/comorbidityicd10/comorbidity_icd10.jsp" TargetMode="External" /><Relationship Type="http://schemas.openxmlformats.org/officeDocument/2006/relationships/hyperlink" Id="rId32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networkopen.2024.20579" TargetMode="External" /><Relationship Type="http://schemas.openxmlformats.org/officeDocument/2006/relationships/hyperlink" Id="rId50" Target="https://doi.org/10.1001/jamapediatrics.2018.0256" TargetMode="External" /><Relationship Type="http://schemas.openxmlformats.org/officeDocument/2006/relationships/hyperlink" Id="rId24" Target="https://doi.org/10.1093/aje/kwq433" TargetMode="External" /><Relationship Type="http://schemas.openxmlformats.org/officeDocument/2006/relationships/hyperlink" Id="rId22" Target="https://doi.org/10.1097/01.mlr.0000182534.19832.83" TargetMode="External" /><Relationship Type="http://schemas.openxmlformats.org/officeDocument/2006/relationships/hyperlink" Id="rId56" Target="https://doi.org/10.1161/01.cir.101.23.e215" TargetMode="External" /><Relationship Type="http://schemas.openxmlformats.org/officeDocument/2006/relationships/hyperlink" Id="rId28" Target="https://doi.org/10.1186/1471-2431-14-199" TargetMode="External" /><Relationship Type="http://schemas.openxmlformats.org/officeDocument/2006/relationships/hyperlink" Id="rId53" Target="https://doi.org/10.13026/kpb9-mt58" TargetMode="External" /><Relationship Type="http://schemas.openxmlformats.org/officeDocument/2006/relationships/hyperlink" Id="rId37" Target="https://doi.org/10.21105/joss.00648" TargetMode="External" /><Relationship Type="http://schemas.openxmlformats.org/officeDocument/2006/relationships/hyperlink" Id="rId46" Target="https://doi.org/10.32614/CRAN.package.data.table" TargetMode="External" /><Relationship Type="http://schemas.openxmlformats.org/officeDocument/2006/relationships/hyperlink" Id="rId48" Target="https://doi.org/10.32614/CRAN.package.dplyr" TargetMode="External" /><Relationship Type="http://schemas.openxmlformats.org/officeDocument/2006/relationships/hyperlink" Id="rId42" Target="https://doi.org/10.32614/CRAN.package.icdcomorbid" TargetMode="External" /><Relationship Type="http://schemas.openxmlformats.org/officeDocument/2006/relationships/hyperlink" Id="rId44" Target="https://doi.org/10.32614/CRAN.package.multimorbidity" TargetMode="External" /><Relationship Type="http://schemas.openxmlformats.org/officeDocument/2006/relationships/hyperlink" Id="rId39" Target="https://github.com/CUD2V/pccc" TargetMode="External" /><Relationship Type="http://schemas.openxmlformats.org/officeDocument/2006/relationships/hyperlink" Id="rId30" Target="https://hcup-us.ahrq.gov/toolssoftware/comorbidityicd10/comorbidity_icd10.jsp" TargetMode="External" /><Relationship Type="http://schemas.openxmlformats.org/officeDocument/2006/relationships/hyperlink" Id="rId32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2026-03-17T20:03:56Z</dcterms:created>
  <dcterms:modified xsi:type="dcterms:W3CDTF">2026-03-17T20:03:56Z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