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52"/>
        </w:rPr>
        <w:t>TechVision AI</w:t>
      </w:r>
    </w:p>
    <w:p>
      <w:pPr>
        <w:jc w:val="center"/>
      </w:pPr>
      <w:r>
        <w:rPr>
          <w:b/>
          <w:color w:val="00B4D8"/>
          <w:sz w:val="40"/>
        </w:rPr>
        <w:t>ĐỀ XUẤT GIẢI PHÁP</w:t>
      </w:r>
    </w:p>
    <w:p>
      <w:pPr>
        <w:jc w:val="center"/>
      </w:pPr>
      <w:r>
        <w:rPr>
          <w:b w:val="0"/>
          <w:color w:val="1E3A5F"/>
          <w:sz w:val="28"/>
        </w:rPr>
        <w:t>VisionChat Enterprise – AI Customer Support Platform</w:t>
      </w:r>
    </w:p>
    <w:p>
      <w:pPr>
        <w:jc w:val="center"/>
      </w:pPr>
      <w:r>
        <w:rPr>
          <w:b w:val="0"/>
          <w:color w:val="9E9E9E"/>
          <w:sz w:val="18"/>
        </w:rPr>
        <w:t>Phiên bản: 2.0  |  Ngày: 15/10/2024  |  Bảo mật: Nội bộ</w:t>
      </w:r>
    </w:p>
    <w:p>
      <w:pPr>
        <w:pBdr>
          <w:bottom w:val="single" w:sz="6" w:space="1" w:color="1E3A5F"/>
        </w:pBdr>
      </w:pPr>
    </w:p>
    <w:p/>
    <w:p>
      <w:pPr>
        <w:pStyle w:val="Heading1"/>
      </w:pPr>
      <w:r>
        <w:rPr>
          <w:b/>
          <w:color w:val="1E3A5F"/>
          <w:sz w:val="32"/>
        </w:rPr>
        <w:t>1. Tóm Tắt Điều Hành</w:t>
      </w:r>
    </w:p>
    <w:p>
      <w:r>
        <w:rPr>
          <w:sz w:val="20"/>
        </w:rPr>
        <w:t>TechVision AI trân trọng giới thiệu VisionChat Enterprise — giải pháp AI Customer Support được thiết kế đặc biệt cho các doanh nghiệp vừa và lớn tại Việt Nam. Với mô hình NLP tiếng Việt được huấn luyện trên hơn 120,000 mẫu dữ liệu thực tế, VisionChat đạt accuracy 92.3% và latency p99 dưới 185ms — vượt trội so với các giải pháp quốc tế chưa được bản địa hóa.</w:t>
      </w:r>
    </w:p>
    <w:p/>
    <w:p>
      <w:r>
        <w:rPr>
          <w:sz w:val="20"/>
        </w:rPr>
        <w:t>Hiện tại, VisionChat đang phục vụ 10 khách hàng active với tổng MRR đạt 0.53 tỷ VNĐ/tháng. Tỷ lệ NRR trung bình đạt 109% trong 6 tháng gần nhất.</w:t>
      </w:r>
    </w:p>
    <w:p/>
    <w:p>
      <w:pPr>
        <w:pStyle w:val="Heading1"/>
      </w:pPr>
      <w:r>
        <w:rPr>
          <w:b/>
          <w:color w:val="1E3A5F"/>
          <w:sz w:val="32"/>
        </w:rPr>
        <w:t>2. Mô Tả Giải Pháp</w:t>
      </w:r>
    </w:p>
    <w:p>
      <w:pPr>
        <w:pStyle w:val="ListBullet"/>
      </w:pPr>
      <w:r>
        <w:rPr>
          <w:b/>
          <w:color w:val="1E3A5F"/>
          <w:sz w:val="20"/>
        </w:rPr>
        <w:t xml:space="preserve">Xử lý ngôn ngữ tự nhiên tiếng Việt: </w:t>
      </w:r>
      <w:r>
        <w:rPr>
          <w:sz w:val="20"/>
        </w:rPr>
        <w:t>Mô hình NLP độc quyền với 150+ intent classes, hỗ trợ đầy đủ các phương ngữ và ngữ cảnh nghiệp vụ đặc thù.</w:t>
      </w:r>
    </w:p>
    <w:p>
      <w:pPr>
        <w:pStyle w:val="ListBullet"/>
      </w:pPr>
      <w:r>
        <w:rPr>
          <w:b/>
          <w:color w:val="1E3A5F"/>
          <w:sz w:val="20"/>
        </w:rPr>
        <w:t xml:space="preserve">Đa kênh tích hợp: </w:t>
      </w:r>
      <w:r>
        <w:rPr>
          <w:sz w:val="20"/>
        </w:rPr>
        <w:t>Kết nối liền mạch với Zalo OA, Facebook Messenger, Website Chat Widget, và các hệ thống CRM/ERP hiện có qua REST API.</w:t>
      </w:r>
    </w:p>
    <w:p>
      <w:pPr>
        <w:pStyle w:val="ListBullet"/>
      </w:pPr>
      <w:r>
        <w:rPr>
          <w:b/>
          <w:color w:val="1E3A5F"/>
          <w:sz w:val="20"/>
        </w:rPr>
        <w:t xml:space="preserve">Analytics &amp; Dashboard thời gian thực: </w:t>
      </w:r>
      <w:r>
        <w:rPr>
          <w:sz w:val="20"/>
        </w:rPr>
        <w:t>Theo dõi CSAT, FRT, resolution rate và volume trends theo giờ. Export báo cáo PDF/Excel tự động.</w:t>
      </w:r>
    </w:p>
    <w:p>
      <w:pPr>
        <w:pStyle w:val="ListBullet"/>
      </w:pPr>
      <w:r>
        <w:rPr>
          <w:b/>
          <w:color w:val="1E3A5F"/>
          <w:sz w:val="20"/>
        </w:rPr>
        <w:t xml:space="preserve">Bảo mật &amp; Tuân thủ: </w:t>
      </w:r>
      <w:r>
        <w:rPr>
          <w:sz w:val="20"/>
        </w:rPr>
        <w:t>Dữ liệu lưu trữ tại Việt Nam (AWS ap-southeast-1), mã hóa AES-256, tuân thủ Nghị định 13/2023/NĐ-CP về bảo vệ dữ liệu cá nhân.</w:t>
      </w:r>
    </w:p>
    <w:p>
      <w:pPr>
        <w:pStyle w:val="ListBullet"/>
      </w:pPr>
      <w:r>
        <w:rPr>
          <w:b/>
          <w:color w:val="1E3A5F"/>
          <w:sz w:val="20"/>
        </w:rPr>
        <w:t xml:space="preserve">SLA &amp; Hỗ trợ: </w:t>
      </w:r>
      <w:r>
        <w:rPr>
          <w:sz w:val="20"/>
        </w:rPr>
        <w:t>Uptime 99.9% SLA, dedicated Customer Success Manager, hỗ trợ kỹ thuật 24/7 qua hotline và ticketing system.</w:t>
      </w:r>
    </w:p>
    <w:p/>
    <w:p>
      <w:pPr>
        <w:pStyle w:val="Heading1"/>
      </w:pPr>
      <w:r>
        <w:rPr>
          <w:b/>
          <w:color w:val="1E3A5F"/>
          <w:sz w:val="32"/>
        </w:rPr>
        <w:t>3. Khách Hàng Tiêu Biểu</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1984"/>
            <w:shd w:val="clear" w:color="auto" w:fill="1E3A5F"/>
            <w:vAlign w:val="center"/>
          </w:tcPr>
          <w:p>
            <w:pPr>
              <w:jc w:val="center"/>
            </w:pPr>
            <w:r>
              <w:rPr>
                <w:b/>
                <w:color w:val="FFFFFF"/>
                <w:sz w:val="18"/>
              </w:rPr>
              <w:t>Công ty</w:t>
            </w:r>
          </w:p>
        </w:tc>
        <w:tc>
          <w:tcPr>
            <w:tcW w:type="dxa" w:w="1701"/>
            <w:shd w:val="clear" w:color="auto" w:fill="1E3A5F"/>
            <w:vAlign w:val="center"/>
          </w:tcPr>
          <w:p>
            <w:pPr>
              <w:jc w:val="center"/>
            </w:pPr>
            <w:r>
              <w:rPr>
                <w:b/>
                <w:color w:val="FFFFFF"/>
                <w:sz w:val="18"/>
              </w:rPr>
              <w:t>Ngành</w:t>
            </w:r>
          </w:p>
        </w:tc>
        <w:tc>
          <w:tcPr>
            <w:tcW w:type="dxa" w:w="1417"/>
            <w:shd w:val="clear" w:color="auto" w:fill="1E3A5F"/>
            <w:vAlign w:val="center"/>
          </w:tcPr>
          <w:p>
            <w:pPr>
              <w:jc w:val="center"/>
            </w:pPr>
            <w:r>
              <w:rPr>
                <w:b/>
                <w:color w:val="FFFFFF"/>
                <w:sz w:val="18"/>
              </w:rPr>
              <w:t>Tier</w:t>
            </w:r>
          </w:p>
        </w:tc>
        <w:tc>
          <w:tcPr>
            <w:tcW w:type="dxa" w:w="1701"/>
            <w:shd w:val="clear" w:color="auto" w:fill="1E3A5F"/>
            <w:vAlign w:val="center"/>
          </w:tcPr>
          <w:p>
            <w:pPr>
              <w:jc w:val="center"/>
            </w:pPr>
            <w:r>
              <w:rPr>
                <w:b/>
                <w:color w:val="FFFFFF"/>
                <w:sz w:val="18"/>
              </w:rPr>
              <w:t>MRR</w:t>
            </w:r>
          </w:p>
        </w:tc>
        <w:tc>
          <w:tcPr>
            <w:tcW w:type="dxa" w:w="1417"/>
            <w:shd w:val="clear" w:color="auto" w:fill="1E3A5F"/>
            <w:vAlign w:val="center"/>
          </w:tcPr>
          <w:p>
            <w:pPr>
              <w:jc w:val="center"/>
            </w:pPr>
            <w:r>
              <w:rPr>
                <w:b/>
                <w:color w:val="FFFFFF"/>
                <w:sz w:val="18"/>
              </w:rPr>
              <w:t>Health Score</w:t>
            </w:r>
          </w:p>
        </w:tc>
        <w:tc>
          <w:tcPr>
            <w:tcW w:type="dxa" w:w="2551"/>
            <w:shd w:val="clear" w:color="auto" w:fill="1E3A5F"/>
            <w:vAlign w:val="center"/>
          </w:tcPr>
          <w:p>
            <w:pPr>
              <w:jc w:val="center"/>
            </w:pPr>
            <w:r>
              <w:rPr>
                <w:b/>
                <w:color w:val="FFFFFF"/>
                <w:sz w:val="18"/>
              </w:rPr>
              <w:t>Ghi chú</w:t>
            </w:r>
          </w:p>
        </w:tc>
      </w:tr>
      <w:tr>
        <w:tc>
          <w:tcPr>
            <w:tcW w:type="dxa" w:w="1984"/>
            <w:shd w:val="clear" w:color="auto" w:fill="F5F5F5"/>
            <w:vAlign w:val="center"/>
          </w:tcPr>
          <w:p>
            <w:pPr>
              <w:jc w:val="left"/>
            </w:pPr>
            <w:r>
              <w:rPr>
                <w:sz w:val="16"/>
              </w:rPr>
              <w:t>SaigonBank</w:t>
            </w:r>
          </w:p>
        </w:tc>
        <w:tc>
          <w:tcPr>
            <w:tcW w:type="dxa" w:w="1701"/>
            <w:shd w:val="clear" w:color="auto" w:fill="F5F5F5"/>
            <w:vAlign w:val="center"/>
          </w:tcPr>
          <w:p>
            <w:pPr>
              <w:jc w:val="left"/>
            </w:pPr>
            <w:r>
              <w:rPr>
                <w:sz w:val="16"/>
              </w:rPr>
              <w:t>Tài chính – Ngân hàng</w:t>
            </w:r>
          </w:p>
        </w:tc>
        <w:tc>
          <w:tcPr>
            <w:tcW w:type="dxa" w:w="1417"/>
            <w:shd w:val="clear" w:color="auto" w:fill="F5F5F5"/>
            <w:vAlign w:val="center"/>
          </w:tcPr>
          <w:p>
            <w:pPr>
              <w:jc w:val="left"/>
            </w:pPr>
            <w:r>
              <w:rPr>
                <w:sz w:val="16"/>
              </w:rPr>
              <w:t>Enterprise</w:t>
            </w:r>
          </w:p>
        </w:tc>
        <w:tc>
          <w:tcPr>
            <w:tcW w:type="dxa" w:w="1701"/>
            <w:shd w:val="clear" w:color="auto" w:fill="F5F5F5"/>
            <w:vAlign w:val="center"/>
          </w:tcPr>
          <w:p>
            <w:pPr>
              <w:jc w:val="left"/>
            </w:pPr>
            <w:r>
              <w:rPr>
                <w:sz w:val="16"/>
              </w:rPr>
              <w:t>133M ₫/tháng</w:t>
            </w:r>
          </w:p>
        </w:tc>
        <w:tc>
          <w:tcPr>
            <w:tcW w:type="dxa" w:w="1417"/>
            <w:shd w:val="clear" w:color="auto" w:fill="F5F5F5"/>
            <w:vAlign w:val="center"/>
          </w:tcPr>
          <w:p>
            <w:pPr>
              <w:jc w:val="left"/>
            </w:pPr>
            <w:r>
              <w:rPr>
                <w:sz w:val="16"/>
              </w:rPr>
              <w:t>92</w:t>
            </w:r>
          </w:p>
        </w:tc>
        <w:tc>
          <w:tcPr>
            <w:tcW w:type="dxa" w:w="2551"/>
            <w:shd w:val="clear" w:color="auto" w:fill="F5F5F5"/>
            <w:vAlign w:val="center"/>
          </w:tcPr>
          <w:p>
            <w:pPr>
              <w:jc w:val="left"/>
            </w:pPr>
            <w:r>
              <w:rPr>
                <w:sz w:val="16"/>
              </w:rPr>
              <w:t>Khách hàng flagship. Renewal rate cao. Đang đàm phán mở rộng...</w:t>
            </w:r>
          </w:p>
        </w:tc>
      </w:tr>
      <w:tr>
        <w:tc>
          <w:tcPr>
            <w:tcW w:type="dxa" w:w="1984"/>
            <w:shd w:val="clear" w:color="auto" w:fill="FFFFFF"/>
            <w:vAlign w:val="center"/>
          </w:tcPr>
          <w:p>
            <w:pPr>
              <w:jc w:val="left"/>
            </w:pPr>
            <w:r>
              <w:rPr>
                <w:sz w:val="16"/>
              </w:rPr>
              <w:t>MegaMart Vietnam</w:t>
            </w:r>
          </w:p>
        </w:tc>
        <w:tc>
          <w:tcPr>
            <w:tcW w:type="dxa" w:w="1701"/>
            <w:shd w:val="clear" w:color="auto" w:fill="FFFFFF"/>
            <w:vAlign w:val="center"/>
          </w:tcPr>
          <w:p>
            <w:pPr>
              <w:jc w:val="left"/>
            </w:pPr>
            <w:r>
              <w:rPr>
                <w:sz w:val="16"/>
              </w:rPr>
              <w:t>Bán lẻ – E-commerce</w:t>
            </w:r>
          </w:p>
        </w:tc>
        <w:tc>
          <w:tcPr>
            <w:tcW w:type="dxa" w:w="1417"/>
            <w:shd w:val="clear" w:color="auto" w:fill="FFFFFF"/>
            <w:vAlign w:val="center"/>
          </w:tcPr>
          <w:p>
            <w:pPr>
              <w:jc w:val="left"/>
            </w:pPr>
            <w:r>
              <w:rPr>
                <w:sz w:val="16"/>
              </w:rPr>
              <w:t>Business</w:t>
            </w:r>
          </w:p>
        </w:tc>
        <w:tc>
          <w:tcPr>
            <w:tcW w:type="dxa" w:w="1701"/>
            <w:shd w:val="clear" w:color="auto" w:fill="FFFFFF"/>
            <w:vAlign w:val="center"/>
          </w:tcPr>
          <w:p>
            <w:pPr>
              <w:jc w:val="left"/>
            </w:pPr>
            <w:r>
              <w:rPr>
                <w:sz w:val="16"/>
              </w:rPr>
              <w:t>40M ₫/tháng</w:t>
            </w:r>
          </w:p>
        </w:tc>
        <w:tc>
          <w:tcPr>
            <w:tcW w:type="dxa" w:w="1417"/>
            <w:shd w:val="clear" w:color="auto" w:fill="FFFFFF"/>
            <w:vAlign w:val="center"/>
          </w:tcPr>
          <w:p>
            <w:pPr>
              <w:jc w:val="left"/>
            </w:pPr>
            <w:r>
              <w:rPr>
                <w:sz w:val="16"/>
              </w:rPr>
              <w:t>78</w:t>
            </w:r>
          </w:p>
        </w:tc>
        <w:tc>
          <w:tcPr>
            <w:tcW w:type="dxa" w:w="2551"/>
            <w:shd w:val="clear" w:color="auto" w:fill="FFFFFF"/>
            <w:vAlign w:val="center"/>
          </w:tcPr>
          <w:p>
            <w:pPr>
              <w:jc w:val="left"/>
            </w:pPr>
            <w:r>
              <w:rPr>
                <w:sz w:val="16"/>
              </w:rPr>
              <w:t>Hài lòng với tích hợp Zalo. Đang cân nhắc nâng cấp lên Enter...</w:t>
            </w:r>
          </w:p>
        </w:tc>
      </w:tr>
      <w:tr>
        <w:tc>
          <w:tcPr>
            <w:tcW w:type="dxa" w:w="1984"/>
            <w:shd w:val="clear" w:color="auto" w:fill="F5F5F5"/>
            <w:vAlign w:val="center"/>
          </w:tcPr>
          <w:p>
            <w:pPr>
              <w:jc w:val="left"/>
            </w:pPr>
            <w:r>
              <w:rPr>
                <w:sz w:val="16"/>
              </w:rPr>
              <w:t>TechEdu Online</w:t>
            </w:r>
          </w:p>
        </w:tc>
        <w:tc>
          <w:tcPr>
            <w:tcW w:type="dxa" w:w="1701"/>
            <w:shd w:val="clear" w:color="auto" w:fill="F5F5F5"/>
            <w:vAlign w:val="center"/>
          </w:tcPr>
          <w:p>
            <w:pPr>
              <w:jc w:val="left"/>
            </w:pPr>
            <w:r>
              <w:rPr>
                <w:sz w:val="16"/>
              </w:rPr>
              <w:t>Giáo dục – EdTech</w:t>
            </w:r>
          </w:p>
        </w:tc>
        <w:tc>
          <w:tcPr>
            <w:tcW w:type="dxa" w:w="1417"/>
            <w:shd w:val="clear" w:color="auto" w:fill="F5F5F5"/>
            <w:vAlign w:val="center"/>
          </w:tcPr>
          <w:p>
            <w:pPr>
              <w:jc w:val="left"/>
            </w:pPr>
            <w:r>
              <w:rPr>
                <w:sz w:val="16"/>
              </w:rPr>
              <w:t>Starter</w:t>
            </w:r>
          </w:p>
        </w:tc>
        <w:tc>
          <w:tcPr>
            <w:tcW w:type="dxa" w:w="1701"/>
            <w:shd w:val="clear" w:color="auto" w:fill="F5F5F5"/>
            <w:vAlign w:val="center"/>
          </w:tcPr>
          <w:p>
            <w:pPr>
              <w:jc w:val="left"/>
            </w:pPr>
            <w:r>
              <w:rPr>
                <w:sz w:val="16"/>
              </w:rPr>
              <w:t>8M ₫/tháng</w:t>
            </w:r>
          </w:p>
        </w:tc>
        <w:tc>
          <w:tcPr>
            <w:tcW w:type="dxa" w:w="1417"/>
            <w:shd w:val="clear" w:color="auto" w:fill="F5F5F5"/>
            <w:vAlign w:val="center"/>
          </w:tcPr>
          <w:p>
            <w:pPr>
              <w:jc w:val="left"/>
            </w:pPr>
            <w:r>
              <w:rPr>
                <w:sz w:val="16"/>
              </w:rPr>
              <w:t>65</w:t>
            </w:r>
          </w:p>
        </w:tc>
        <w:tc>
          <w:tcPr>
            <w:tcW w:type="dxa" w:w="2551"/>
            <w:shd w:val="clear" w:color="auto" w:fill="F5F5F5"/>
            <w:vAlign w:val="center"/>
          </w:tcPr>
          <w:p>
            <w:pPr>
              <w:jc w:val="left"/>
            </w:pPr>
            <w:r>
              <w:rPr>
                <w:sz w:val="16"/>
              </w:rPr>
              <w:t>SME nhỏ. Sử dụng ổn định nhưng ít tương tác với team support...</w:t>
            </w:r>
          </w:p>
        </w:tc>
      </w:tr>
      <w:tr>
        <w:tc>
          <w:tcPr>
            <w:tcW w:type="dxa" w:w="1984"/>
            <w:shd w:val="clear" w:color="auto" w:fill="FFFFFF"/>
            <w:vAlign w:val="center"/>
          </w:tcPr>
          <w:p>
            <w:pPr>
              <w:jc w:val="left"/>
            </w:pPr>
            <w:r>
              <w:rPr>
                <w:sz w:val="16"/>
              </w:rPr>
              <w:t>VinLogistics</w:t>
            </w:r>
          </w:p>
        </w:tc>
        <w:tc>
          <w:tcPr>
            <w:tcW w:type="dxa" w:w="1701"/>
            <w:shd w:val="clear" w:color="auto" w:fill="FFFFFF"/>
            <w:vAlign w:val="center"/>
          </w:tcPr>
          <w:p>
            <w:pPr>
              <w:jc w:val="left"/>
            </w:pPr>
            <w:r>
              <w:rPr>
                <w:sz w:val="16"/>
              </w:rPr>
              <w:t>Vận tải – Logistics</w:t>
            </w:r>
          </w:p>
        </w:tc>
        <w:tc>
          <w:tcPr>
            <w:tcW w:type="dxa" w:w="1417"/>
            <w:shd w:val="clear" w:color="auto" w:fill="FFFFFF"/>
            <w:vAlign w:val="center"/>
          </w:tcPr>
          <w:p>
            <w:pPr>
              <w:jc w:val="left"/>
            </w:pPr>
            <w:r>
              <w:rPr>
                <w:sz w:val="16"/>
              </w:rPr>
              <w:t>Business</w:t>
            </w:r>
          </w:p>
        </w:tc>
        <w:tc>
          <w:tcPr>
            <w:tcW w:type="dxa" w:w="1701"/>
            <w:shd w:val="clear" w:color="auto" w:fill="FFFFFF"/>
            <w:vAlign w:val="center"/>
          </w:tcPr>
          <w:p>
            <w:pPr>
              <w:jc w:val="left"/>
            </w:pPr>
            <w:r>
              <w:rPr>
                <w:sz w:val="16"/>
              </w:rPr>
              <w:t>30M ₫/tháng</w:t>
            </w:r>
          </w:p>
        </w:tc>
        <w:tc>
          <w:tcPr>
            <w:tcW w:type="dxa" w:w="1417"/>
            <w:shd w:val="clear" w:color="auto" w:fill="FFFFFF"/>
            <w:vAlign w:val="center"/>
          </w:tcPr>
          <w:p>
            <w:pPr>
              <w:jc w:val="left"/>
            </w:pPr>
            <w:r>
              <w:rPr>
                <w:sz w:val="16"/>
              </w:rPr>
              <w:t>42</w:t>
            </w:r>
          </w:p>
        </w:tc>
        <w:tc>
          <w:tcPr>
            <w:tcW w:type="dxa" w:w="2551"/>
            <w:shd w:val="clear" w:color="auto" w:fill="FFFFFF"/>
            <w:vAlign w:val="center"/>
          </w:tcPr>
          <w:p>
            <w:pPr>
              <w:jc w:val="left"/>
            </w:pPr>
            <w:r>
              <w:rPr>
                <w:sz w:val="16"/>
              </w:rPr>
              <w:t>Churn risk cao. Không hài lòng với accuracy tiếng Việt ngành...</w:t>
            </w:r>
          </w:p>
        </w:tc>
      </w:tr>
      <w:tr>
        <w:tc>
          <w:tcPr>
            <w:tcW w:type="dxa" w:w="1984"/>
            <w:shd w:val="clear" w:color="auto" w:fill="F5F5F5"/>
            <w:vAlign w:val="center"/>
          </w:tcPr>
          <w:p>
            <w:pPr>
              <w:jc w:val="left"/>
            </w:pPr>
            <w:r>
              <w:rPr>
                <w:sz w:val="16"/>
              </w:rPr>
              <w:t>FreshFood Co.</w:t>
            </w:r>
          </w:p>
        </w:tc>
        <w:tc>
          <w:tcPr>
            <w:tcW w:type="dxa" w:w="1701"/>
            <w:shd w:val="clear" w:color="auto" w:fill="F5F5F5"/>
            <w:vAlign w:val="center"/>
          </w:tcPr>
          <w:p>
            <w:pPr>
              <w:jc w:val="left"/>
            </w:pPr>
            <w:r>
              <w:rPr>
                <w:sz w:val="16"/>
              </w:rPr>
              <w:t>Thực phẩm – F&amp;B</w:t>
            </w:r>
          </w:p>
        </w:tc>
        <w:tc>
          <w:tcPr>
            <w:tcW w:type="dxa" w:w="1417"/>
            <w:shd w:val="clear" w:color="auto" w:fill="F5F5F5"/>
            <w:vAlign w:val="center"/>
          </w:tcPr>
          <w:p>
            <w:pPr>
              <w:jc w:val="left"/>
            </w:pPr>
            <w:r>
              <w:rPr>
                <w:sz w:val="16"/>
              </w:rPr>
              <w:t>Business</w:t>
            </w:r>
          </w:p>
        </w:tc>
        <w:tc>
          <w:tcPr>
            <w:tcW w:type="dxa" w:w="1701"/>
            <w:shd w:val="clear" w:color="auto" w:fill="F5F5F5"/>
            <w:vAlign w:val="center"/>
          </w:tcPr>
          <w:p>
            <w:pPr>
              <w:jc w:val="left"/>
            </w:pPr>
            <w:r>
              <w:rPr>
                <w:sz w:val="16"/>
              </w:rPr>
              <w:t>20M ₫/tháng</w:t>
            </w:r>
          </w:p>
        </w:tc>
        <w:tc>
          <w:tcPr>
            <w:tcW w:type="dxa" w:w="1417"/>
            <w:shd w:val="clear" w:color="auto" w:fill="F5F5F5"/>
            <w:vAlign w:val="center"/>
          </w:tcPr>
          <w:p>
            <w:pPr>
              <w:jc w:val="left"/>
            </w:pPr>
            <w:r>
              <w:rPr>
                <w:sz w:val="16"/>
              </w:rPr>
              <w:t>80</w:t>
            </w:r>
          </w:p>
        </w:tc>
        <w:tc>
          <w:tcPr>
            <w:tcW w:type="dxa" w:w="2551"/>
            <w:shd w:val="clear" w:color="auto" w:fill="F5F5F5"/>
            <w:vAlign w:val="center"/>
          </w:tcPr>
          <w:p>
            <w:pPr>
              <w:jc w:val="left"/>
            </w:pPr>
            <w:r>
              <w:rPr>
                <w:sz w:val="16"/>
              </w:rPr>
              <w:t>Sử dụng tốt cho kênh Zalo OA đặt hàng. Đề xuất thêm tính năn...</w:t>
            </w:r>
          </w:p>
        </w:tc>
      </w:tr>
      <w:tr>
        <w:tc>
          <w:tcPr>
            <w:tcW w:type="dxa" w:w="1984"/>
            <w:shd w:val="clear" w:color="auto" w:fill="FFFFFF"/>
            <w:vAlign w:val="center"/>
          </w:tcPr>
          <w:p>
            <w:pPr>
              <w:jc w:val="left"/>
            </w:pPr>
            <w:r>
              <w:rPr>
                <w:sz w:val="16"/>
              </w:rPr>
              <w:t>PharmaViet JSC</w:t>
            </w:r>
          </w:p>
        </w:tc>
        <w:tc>
          <w:tcPr>
            <w:tcW w:type="dxa" w:w="1701"/>
            <w:shd w:val="clear" w:color="auto" w:fill="FFFFFF"/>
            <w:vAlign w:val="center"/>
          </w:tcPr>
          <w:p>
            <w:pPr>
              <w:jc w:val="left"/>
            </w:pPr>
            <w:r>
              <w:rPr>
                <w:sz w:val="16"/>
              </w:rPr>
              <w:t>Dược phẩm</w:t>
            </w:r>
          </w:p>
        </w:tc>
        <w:tc>
          <w:tcPr>
            <w:tcW w:type="dxa" w:w="1417"/>
            <w:shd w:val="clear" w:color="auto" w:fill="FFFFFF"/>
            <w:vAlign w:val="center"/>
          </w:tcPr>
          <w:p>
            <w:pPr>
              <w:jc w:val="left"/>
            </w:pPr>
            <w:r>
              <w:rPr>
                <w:sz w:val="16"/>
              </w:rPr>
              <w:t>Enterprise</w:t>
            </w:r>
          </w:p>
        </w:tc>
        <w:tc>
          <w:tcPr>
            <w:tcW w:type="dxa" w:w="1701"/>
            <w:shd w:val="clear" w:color="auto" w:fill="FFFFFF"/>
            <w:vAlign w:val="center"/>
          </w:tcPr>
          <w:p>
            <w:pPr>
              <w:jc w:val="left"/>
            </w:pPr>
            <w:r>
              <w:rPr>
                <w:sz w:val="16"/>
              </w:rPr>
              <w:t>75M ₫/tháng</w:t>
            </w:r>
          </w:p>
        </w:tc>
        <w:tc>
          <w:tcPr>
            <w:tcW w:type="dxa" w:w="1417"/>
            <w:shd w:val="clear" w:color="auto" w:fill="FFFFFF"/>
            <w:vAlign w:val="center"/>
          </w:tcPr>
          <w:p>
            <w:pPr>
              <w:jc w:val="left"/>
            </w:pPr>
            <w:r>
              <w:rPr>
                <w:sz w:val="16"/>
              </w:rPr>
              <w:t>88</w:t>
            </w:r>
          </w:p>
        </w:tc>
        <w:tc>
          <w:tcPr>
            <w:tcW w:type="dxa" w:w="2551"/>
            <w:shd w:val="clear" w:color="auto" w:fill="FFFFFF"/>
            <w:vAlign w:val="center"/>
          </w:tcPr>
          <w:p>
            <w:pPr>
              <w:jc w:val="left"/>
            </w:pPr>
            <w:r>
              <w:rPr>
                <w:sz w:val="16"/>
              </w:rPr>
              <w:t>Khách hàng dùng cả 2 sản phẩm. Tiềm năng upsell MLOps Platfo...</w:t>
            </w:r>
          </w:p>
        </w:tc>
      </w:tr>
    </w:tbl>
    <w:p/>
    <w:p>
      <w:pPr>
        <w:pStyle w:val="Heading1"/>
      </w:pPr>
      <w:r>
        <w:rPr>
          <w:b/>
          <w:color w:val="1E3A5F"/>
          <w:sz w:val="32"/>
        </w:rPr>
        <w:t>4. Bảng Giá Gói Enterprise</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417"/>
            <w:shd w:val="clear" w:color="auto" w:fill="1E3A5F"/>
            <w:vAlign w:val="center"/>
          </w:tcPr>
          <w:p>
            <w:pPr>
              <w:jc w:val="center"/>
            </w:pPr>
            <w:r>
              <w:rPr>
                <w:b/>
                <w:color w:val="FFFFFF"/>
                <w:sz w:val="18"/>
              </w:rPr>
              <w:t>Gói</w:t>
            </w:r>
          </w:p>
        </w:tc>
        <w:tc>
          <w:tcPr>
            <w:tcW w:type="dxa" w:w="1701"/>
            <w:shd w:val="clear" w:color="auto" w:fill="1E3A5F"/>
            <w:vAlign w:val="center"/>
          </w:tcPr>
          <w:p>
            <w:pPr>
              <w:jc w:val="center"/>
            </w:pPr>
            <w:r>
              <w:rPr>
                <w:b/>
                <w:color w:val="FFFFFF"/>
                <w:sz w:val="18"/>
              </w:rPr>
              <w:t>Agents</w:t>
            </w:r>
          </w:p>
        </w:tc>
        <w:tc>
          <w:tcPr>
            <w:tcW w:type="dxa" w:w="2268"/>
            <w:shd w:val="clear" w:color="auto" w:fill="1E3A5F"/>
            <w:vAlign w:val="center"/>
          </w:tcPr>
          <w:p>
            <w:pPr>
              <w:jc w:val="center"/>
            </w:pPr>
            <w:r>
              <w:rPr>
                <w:b/>
                <w:color w:val="FFFFFF"/>
                <w:sz w:val="18"/>
              </w:rPr>
              <w:t>Giá niêm yết/tháng</w:t>
            </w:r>
          </w:p>
        </w:tc>
        <w:tc>
          <w:tcPr>
            <w:tcW w:type="dxa" w:w="2268"/>
            <w:shd w:val="clear" w:color="auto" w:fill="1E3A5F"/>
            <w:vAlign w:val="center"/>
          </w:tcPr>
          <w:p>
            <w:pPr>
              <w:jc w:val="center"/>
            </w:pPr>
            <w:r>
              <w:rPr>
                <w:b/>
                <w:color w:val="FFFFFF"/>
                <w:sz w:val="18"/>
              </w:rPr>
              <w:t>Giá đặc biệt Q4</w:t>
            </w:r>
          </w:p>
        </w:tc>
        <w:tc>
          <w:tcPr>
            <w:tcW w:type="dxa" w:w="2551"/>
            <w:shd w:val="clear" w:color="auto" w:fill="1E3A5F"/>
            <w:vAlign w:val="center"/>
          </w:tcPr>
          <w:p>
            <w:pPr>
              <w:jc w:val="center"/>
            </w:pPr>
            <w:r>
              <w:rPr>
                <w:b/>
                <w:color w:val="FFFFFF"/>
                <w:sz w:val="18"/>
              </w:rPr>
              <w:t>Hỗ trợ</w:t>
            </w:r>
          </w:p>
        </w:tc>
      </w:tr>
      <w:tr>
        <w:tc>
          <w:tcPr>
            <w:tcW w:type="dxa" w:w="1417"/>
            <w:shd w:val="clear" w:color="auto" w:fill="F5F5F5"/>
            <w:vAlign w:val="center"/>
          </w:tcPr>
          <w:p>
            <w:pPr>
              <w:jc w:val="left"/>
            </w:pPr>
            <w:r>
              <w:rPr>
                <w:sz w:val="16"/>
              </w:rPr>
              <w:t>Starter</w:t>
            </w:r>
          </w:p>
        </w:tc>
        <w:tc>
          <w:tcPr>
            <w:tcW w:type="dxa" w:w="1701"/>
            <w:shd w:val="clear" w:color="auto" w:fill="F5F5F5"/>
            <w:vAlign w:val="center"/>
          </w:tcPr>
          <w:p>
            <w:pPr>
              <w:jc w:val="left"/>
            </w:pPr>
            <w:r>
              <w:rPr>
                <w:sz w:val="16"/>
              </w:rPr>
              <w:t>1–3 agents</w:t>
            </w:r>
          </w:p>
        </w:tc>
        <w:tc>
          <w:tcPr>
            <w:tcW w:type="dxa" w:w="2268"/>
            <w:shd w:val="clear" w:color="auto" w:fill="F5F5F5"/>
            <w:vAlign w:val="center"/>
          </w:tcPr>
          <w:p>
            <w:pPr>
              <w:jc w:val="left"/>
            </w:pPr>
            <w:r>
              <w:rPr>
                <w:sz w:val="16"/>
              </w:rPr>
              <w:t>8.000.000 ₫</w:t>
            </w:r>
          </w:p>
        </w:tc>
        <w:tc>
          <w:tcPr>
            <w:tcW w:type="dxa" w:w="2268"/>
            <w:shd w:val="clear" w:color="auto" w:fill="F5F5F5"/>
            <w:vAlign w:val="center"/>
          </w:tcPr>
          <w:p>
            <w:pPr>
              <w:jc w:val="left"/>
            </w:pPr>
            <w:r>
              <w:rPr>
                <w:sz w:val="16"/>
              </w:rPr>
              <w:t>8.000.000 ₫</w:t>
            </w:r>
          </w:p>
        </w:tc>
        <w:tc>
          <w:tcPr>
            <w:tcW w:type="dxa" w:w="2551"/>
            <w:shd w:val="clear" w:color="auto" w:fill="F5F5F5"/>
            <w:vAlign w:val="center"/>
          </w:tcPr>
          <w:p>
            <w:pPr>
              <w:jc w:val="left"/>
            </w:pPr>
            <w:r>
              <w:rPr>
                <w:sz w:val="16"/>
              </w:rPr>
              <w:t>Cộng đồng</w:t>
            </w:r>
          </w:p>
        </w:tc>
      </w:tr>
      <w:tr>
        <w:tc>
          <w:tcPr>
            <w:tcW w:type="dxa" w:w="1417"/>
            <w:shd w:val="clear" w:color="auto" w:fill="FFFFFF"/>
            <w:vAlign w:val="center"/>
          </w:tcPr>
          <w:p>
            <w:pPr>
              <w:jc w:val="left"/>
            </w:pPr>
            <w:r>
              <w:rPr>
                <w:sz w:val="16"/>
              </w:rPr>
              <w:t>Business</w:t>
            </w:r>
          </w:p>
        </w:tc>
        <w:tc>
          <w:tcPr>
            <w:tcW w:type="dxa" w:w="1701"/>
            <w:shd w:val="clear" w:color="auto" w:fill="FFFFFF"/>
            <w:vAlign w:val="center"/>
          </w:tcPr>
          <w:p>
            <w:pPr>
              <w:jc w:val="left"/>
            </w:pPr>
            <w:r>
              <w:rPr>
                <w:sz w:val="16"/>
              </w:rPr>
              <w:t>5–15 agents</w:t>
            </w:r>
          </w:p>
        </w:tc>
        <w:tc>
          <w:tcPr>
            <w:tcW w:type="dxa" w:w="2268"/>
            <w:shd w:val="clear" w:color="auto" w:fill="FFFFFF"/>
            <w:vAlign w:val="center"/>
          </w:tcPr>
          <w:p>
            <w:pPr>
              <w:jc w:val="left"/>
            </w:pPr>
            <w:r>
              <w:rPr>
                <w:sz w:val="16"/>
              </w:rPr>
              <w:t>20.000.000 ₫</w:t>
            </w:r>
          </w:p>
        </w:tc>
        <w:tc>
          <w:tcPr>
            <w:tcW w:type="dxa" w:w="2268"/>
            <w:shd w:val="clear" w:color="auto" w:fill="FFFFFF"/>
            <w:vAlign w:val="center"/>
          </w:tcPr>
          <w:p>
            <w:pPr>
              <w:jc w:val="left"/>
            </w:pPr>
            <w:r>
              <w:rPr>
                <w:sz w:val="16"/>
              </w:rPr>
              <w:t>16.000.000 ₫</w:t>
            </w:r>
          </w:p>
        </w:tc>
        <w:tc>
          <w:tcPr>
            <w:tcW w:type="dxa" w:w="2551"/>
            <w:shd w:val="clear" w:color="auto" w:fill="FFFFFF"/>
            <w:vAlign w:val="center"/>
          </w:tcPr>
          <w:p>
            <w:pPr>
              <w:jc w:val="left"/>
            </w:pPr>
            <w:r>
              <w:rPr>
                <w:sz w:val="16"/>
              </w:rPr>
              <w:t>Business hours</w:t>
            </w:r>
          </w:p>
        </w:tc>
      </w:tr>
      <w:tr>
        <w:tc>
          <w:tcPr>
            <w:tcW w:type="dxa" w:w="1417"/>
            <w:shd w:val="clear" w:color="auto" w:fill="F5F5F5"/>
            <w:vAlign w:val="center"/>
          </w:tcPr>
          <w:p>
            <w:pPr>
              <w:jc w:val="left"/>
            </w:pPr>
            <w:r>
              <w:rPr>
                <w:sz w:val="16"/>
              </w:rPr>
              <w:t>Enterprise</w:t>
            </w:r>
          </w:p>
        </w:tc>
        <w:tc>
          <w:tcPr>
            <w:tcW w:type="dxa" w:w="1701"/>
            <w:shd w:val="clear" w:color="auto" w:fill="F5F5F5"/>
            <w:vAlign w:val="center"/>
          </w:tcPr>
          <w:p>
            <w:pPr>
              <w:jc w:val="left"/>
            </w:pPr>
            <w:r>
              <w:rPr>
                <w:sz w:val="16"/>
              </w:rPr>
              <w:t>Không giới hạn</w:t>
            </w:r>
          </w:p>
        </w:tc>
        <w:tc>
          <w:tcPr>
            <w:tcW w:type="dxa" w:w="2268"/>
            <w:shd w:val="clear" w:color="auto" w:fill="F5F5F5"/>
            <w:vAlign w:val="center"/>
          </w:tcPr>
          <w:p>
            <w:pPr>
              <w:jc w:val="left"/>
            </w:pPr>
            <w:r>
              <w:rPr>
                <w:sz w:val="16"/>
              </w:rPr>
              <w:t>Theo thỏa thuận</w:t>
            </w:r>
          </w:p>
        </w:tc>
        <w:tc>
          <w:tcPr>
            <w:tcW w:type="dxa" w:w="2268"/>
            <w:shd w:val="clear" w:color="auto" w:fill="F5F5F5"/>
            <w:vAlign w:val="center"/>
          </w:tcPr>
          <w:p>
            <w:pPr>
              <w:jc w:val="left"/>
            </w:pPr>
            <w:r>
              <w:rPr>
                <w:sz w:val="16"/>
              </w:rPr>
              <w:t>Theo TT</w:t>
            </w:r>
          </w:p>
        </w:tc>
        <w:tc>
          <w:tcPr>
            <w:tcW w:type="dxa" w:w="2551"/>
            <w:shd w:val="clear" w:color="auto" w:fill="F5F5F5"/>
            <w:vAlign w:val="center"/>
          </w:tcPr>
          <w:p>
            <w:pPr>
              <w:jc w:val="left"/>
            </w:pPr>
            <w:r>
              <w:rPr>
                <w:sz w:val="16"/>
              </w:rPr>
              <w:t>24/7 dedicated CSM</w:t>
            </w:r>
          </w:p>
        </w:tc>
      </w:tr>
    </w:tbl>
    <w:p/>
    <w:p>
      <w:pPr>
        <w:pStyle w:val="Heading1"/>
      </w:pPr>
      <w:r>
        <w:rPr>
          <w:b/>
          <w:color w:val="1E3A5F"/>
          <w:sz w:val="32"/>
        </w:rPr>
        <w:t>5. Lộ Trình Triển Khai</w:t>
      </w:r>
    </w:p>
    <w:tbl>
      <w:tblPr>
        <w:tblStyle w:val="TableGrid"/>
        <w:tblW w:type="auto" w:w="0"/>
        <w:jc w:val="center"/>
        <w:tblLook w:firstColumn="1" w:firstRow="1" w:lastColumn="0" w:lastRow="0" w:noHBand="0" w:noVBand="1" w:val="04A0"/>
      </w:tblPr>
      <w:tblGrid>
        <w:gridCol w:w="2946"/>
        <w:gridCol w:w="2946"/>
        <w:gridCol w:w="2946"/>
      </w:tblGrid>
      <w:tr>
        <w:tc>
          <w:tcPr>
            <w:tcW w:type="dxa" w:w="1417"/>
            <w:shd w:val="clear" w:color="auto" w:fill="1E3A5F"/>
            <w:vAlign w:val="center"/>
          </w:tcPr>
          <w:p>
            <w:pPr>
              <w:jc w:val="center"/>
            </w:pPr>
            <w:r>
              <w:rPr>
                <w:b/>
                <w:color w:val="FFFFFF"/>
                <w:sz w:val="18"/>
              </w:rPr>
              <w:t>Giai đoạn</w:t>
            </w:r>
          </w:p>
        </w:tc>
        <w:tc>
          <w:tcPr>
            <w:tcW w:type="dxa" w:w="2268"/>
            <w:shd w:val="clear" w:color="auto" w:fill="1E3A5F"/>
            <w:vAlign w:val="center"/>
          </w:tcPr>
          <w:p>
            <w:pPr>
              <w:jc w:val="center"/>
            </w:pPr>
            <w:r>
              <w:rPr>
                <w:b/>
                <w:color w:val="FFFFFF"/>
                <w:sz w:val="18"/>
              </w:rPr>
              <w:t>Hạng mục</w:t>
            </w:r>
          </w:p>
        </w:tc>
        <w:tc>
          <w:tcPr>
            <w:tcW w:type="dxa" w:w="6520"/>
            <w:shd w:val="clear" w:color="auto" w:fill="1E3A5F"/>
            <w:vAlign w:val="center"/>
          </w:tcPr>
          <w:p>
            <w:pPr>
              <w:jc w:val="center"/>
            </w:pPr>
            <w:r>
              <w:rPr>
                <w:b/>
                <w:color w:val="FFFFFF"/>
                <w:sz w:val="18"/>
              </w:rPr>
              <w:t>Nội dung</w:t>
            </w:r>
          </w:p>
        </w:tc>
      </w:tr>
      <w:tr>
        <w:tc>
          <w:tcPr>
            <w:tcW w:type="dxa" w:w="1417"/>
            <w:shd w:val="clear" w:color="auto" w:fill="F5F5F5"/>
            <w:vAlign w:val="center"/>
          </w:tcPr>
          <w:p>
            <w:pPr>
              <w:jc w:val="left"/>
            </w:pPr>
            <w:r>
              <w:rPr>
                <w:sz w:val="16"/>
              </w:rPr>
              <w:t>Tuần 1–2</w:t>
            </w:r>
          </w:p>
        </w:tc>
        <w:tc>
          <w:tcPr>
            <w:tcW w:type="dxa" w:w="2268"/>
            <w:shd w:val="clear" w:color="auto" w:fill="F5F5F5"/>
            <w:vAlign w:val="center"/>
          </w:tcPr>
          <w:p>
            <w:pPr>
              <w:jc w:val="left"/>
            </w:pPr>
            <w:r>
              <w:rPr>
                <w:sz w:val="16"/>
              </w:rPr>
              <w:t>Kickoff &amp; Requirements</w:t>
            </w:r>
          </w:p>
        </w:tc>
        <w:tc>
          <w:tcPr>
            <w:tcW w:type="dxa" w:w="6520"/>
            <w:shd w:val="clear" w:color="auto" w:fill="F5F5F5"/>
            <w:vAlign w:val="center"/>
          </w:tcPr>
          <w:p>
            <w:pPr>
              <w:jc w:val="left"/>
            </w:pPr>
            <w:r>
              <w:rPr>
                <w:sz w:val="16"/>
              </w:rPr>
              <w:t>Workshop với các stakeholder, thu thập FAQ corpus, thiết lập sandbox environment.</w:t>
            </w:r>
          </w:p>
        </w:tc>
      </w:tr>
      <w:tr>
        <w:tc>
          <w:tcPr>
            <w:tcW w:type="dxa" w:w="1417"/>
            <w:shd w:val="clear" w:color="auto" w:fill="FFFFFF"/>
            <w:vAlign w:val="center"/>
          </w:tcPr>
          <w:p>
            <w:pPr>
              <w:jc w:val="left"/>
            </w:pPr>
            <w:r>
              <w:rPr>
                <w:sz w:val="16"/>
              </w:rPr>
              <w:t>Tuần 3–4</w:t>
            </w:r>
          </w:p>
        </w:tc>
        <w:tc>
          <w:tcPr>
            <w:tcW w:type="dxa" w:w="2268"/>
            <w:shd w:val="clear" w:color="auto" w:fill="FFFFFF"/>
            <w:vAlign w:val="center"/>
          </w:tcPr>
          <w:p>
            <w:pPr>
              <w:jc w:val="left"/>
            </w:pPr>
            <w:r>
              <w:rPr>
                <w:sz w:val="16"/>
              </w:rPr>
              <w:t>Customization &amp; Training</w:t>
            </w:r>
          </w:p>
        </w:tc>
        <w:tc>
          <w:tcPr>
            <w:tcW w:type="dxa" w:w="6520"/>
            <w:shd w:val="clear" w:color="auto" w:fill="FFFFFF"/>
            <w:vAlign w:val="center"/>
          </w:tcPr>
          <w:p>
            <w:pPr>
              <w:jc w:val="left"/>
            </w:pPr>
            <w:r>
              <w:rPr>
                <w:sz w:val="16"/>
              </w:rPr>
              <w:t>Fine-tune intent model theo dữ liệu khách hàng, cấu hình workflow và escalation rules.</w:t>
            </w:r>
          </w:p>
        </w:tc>
      </w:tr>
      <w:tr>
        <w:tc>
          <w:tcPr>
            <w:tcW w:type="dxa" w:w="1417"/>
            <w:shd w:val="clear" w:color="auto" w:fill="F5F5F5"/>
            <w:vAlign w:val="center"/>
          </w:tcPr>
          <w:p>
            <w:pPr>
              <w:jc w:val="left"/>
            </w:pPr>
            <w:r>
              <w:rPr>
                <w:sz w:val="16"/>
              </w:rPr>
              <w:t>Tuần 5</w:t>
            </w:r>
          </w:p>
        </w:tc>
        <w:tc>
          <w:tcPr>
            <w:tcW w:type="dxa" w:w="2268"/>
            <w:shd w:val="clear" w:color="auto" w:fill="F5F5F5"/>
            <w:vAlign w:val="center"/>
          </w:tcPr>
          <w:p>
            <w:pPr>
              <w:jc w:val="left"/>
            </w:pPr>
            <w:r>
              <w:rPr>
                <w:sz w:val="16"/>
              </w:rPr>
              <w:t>Integration &amp; Testing</w:t>
            </w:r>
          </w:p>
        </w:tc>
        <w:tc>
          <w:tcPr>
            <w:tcW w:type="dxa" w:w="6520"/>
            <w:shd w:val="clear" w:color="auto" w:fill="F5F5F5"/>
            <w:vAlign w:val="center"/>
          </w:tcPr>
          <w:p>
            <w:pPr>
              <w:jc w:val="left"/>
            </w:pPr>
            <w:r>
              <w:rPr>
                <w:sz w:val="16"/>
              </w:rPr>
              <w:t>Kết nối API với hệ thống hiện có, kiểm thử End-to-End, User Acceptance Testing.</w:t>
            </w:r>
          </w:p>
        </w:tc>
      </w:tr>
      <w:tr>
        <w:tc>
          <w:tcPr>
            <w:tcW w:type="dxa" w:w="1417"/>
            <w:shd w:val="clear" w:color="auto" w:fill="FFFFFF"/>
            <w:vAlign w:val="center"/>
          </w:tcPr>
          <w:p>
            <w:pPr>
              <w:jc w:val="left"/>
            </w:pPr>
            <w:r>
              <w:rPr>
                <w:sz w:val="16"/>
              </w:rPr>
              <w:t>Tuần 6</w:t>
            </w:r>
          </w:p>
        </w:tc>
        <w:tc>
          <w:tcPr>
            <w:tcW w:type="dxa" w:w="2268"/>
            <w:shd w:val="clear" w:color="auto" w:fill="FFFFFF"/>
            <w:vAlign w:val="center"/>
          </w:tcPr>
          <w:p>
            <w:pPr>
              <w:jc w:val="left"/>
            </w:pPr>
            <w:r>
              <w:rPr>
                <w:sz w:val="16"/>
              </w:rPr>
              <w:t>Go-Live</w:t>
            </w:r>
          </w:p>
        </w:tc>
        <w:tc>
          <w:tcPr>
            <w:tcW w:type="dxa" w:w="6520"/>
            <w:shd w:val="clear" w:color="auto" w:fill="FFFFFF"/>
            <w:vAlign w:val="center"/>
          </w:tcPr>
          <w:p>
            <w:pPr>
              <w:jc w:val="left"/>
            </w:pPr>
            <w:r>
              <w:rPr>
                <w:sz w:val="16"/>
              </w:rPr>
              <w:t>Chuyển traffic production, monitoring 24/7, daily report trong 2 tuần đầu.</w:t>
            </w:r>
          </w:p>
        </w:tc>
      </w:tr>
      <w:tr>
        <w:tc>
          <w:tcPr>
            <w:tcW w:type="dxa" w:w="1417"/>
            <w:shd w:val="clear" w:color="auto" w:fill="F5F5F5"/>
            <w:vAlign w:val="center"/>
          </w:tcPr>
          <w:p>
            <w:pPr>
              <w:jc w:val="left"/>
            </w:pPr>
            <w:r>
              <w:rPr>
                <w:sz w:val="16"/>
              </w:rPr>
              <w:t>Tháng 2+</w:t>
            </w:r>
          </w:p>
        </w:tc>
        <w:tc>
          <w:tcPr>
            <w:tcW w:type="dxa" w:w="2268"/>
            <w:shd w:val="clear" w:color="auto" w:fill="F5F5F5"/>
            <w:vAlign w:val="center"/>
          </w:tcPr>
          <w:p>
            <w:pPr>
              <w:jc w:val="left"/>
            </w:pPr>
            <w:r>
              <w:rPr>
                <w:sz w:val="16"/>
              </w:rPr>
              <w:t>Optimize &amp; Scale</w:t>
            </w:r>
          </w:p>
        </w:tc>
        <w:tc>
          <w:tcPr>
            <w:tcW w:type="dxa" w:w="6520"/>
            <w:shd w:val="clear" w:color="auto" w:fill="F5F5F5"/>
            <w:vAlign w:val="center"/>
          </w:tcPr>
          <w:p>
            <w:pPr>
              <w:jc w:val="left"/>
            </w:pPr>
            <w:r>
              <w:rPr>
                <w:sz w:val="16"/>
              </w:rPr>
              <w:t>Review metrics hàng tháng, mở rộng tính năng, training thêm intent classes.</w:t>
            </w:r>
          </w:p>
        </w:tc>
      </w:tr>
    </w:tbl>
    <w:p/>
    <w:p>
      <w:pPr>
        <w:pBdr>
          <w:bottom w:val="single" w:sz="6" w:space="1" w:color="1E3A5F"/>
        </w:pBdr>
      </w:pPr>
    </w:p>
    <w:p>
      <w:pPr>
        <w:jc w:val="center"/>
      </w:pPr>
      <w:r>
        <w:rPr>
          <w:i/>
          <w:color w:val="9E9E9E"/>
          <w:sz w:val="16"/>
        </w:rPr>
        <w:t>TechVision AI – Tài liệu mang tính chất tham khảo nội bộ. Liên hệ: sales@techvision.vn  |  028 3900 1234</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