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447BD" w14:textId="77777777"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lang w:val="en-AU" w:eastAsia="en-AU"/>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cYirKgIAAE8EAAAOAAAAZHJzL2Uyb0RvYy54bWysVMGO0zAQvSPxD5bvNGm3hTZqulq6FCHt AtIuH+A4TmJheyzbbbJ8PWOnLRFwQuRgeTzj55n3ZrK9HbQiJ+G8BFPS+SynRBgOtTRtSb89H96s KfGBmZopMKKkL8LT293rV9veFmIBHahaOIIgxhe9LWkXgi2yzPNOaOZnYIVBZwNOs4Cma7PasR7R tcoWef4268HV1gEX3uPp/eiku4TfNIKHL03jRSCqpJhbSKtLaxXXbLdlReuY7SQ/p8H+IQvNpMFH r1D3LDBydPIPKC25Aw9NmHHQGTSN5CLVgNXM89+qeeqYFakWJMfbK03+/8Hyz6evjsgataPEMI0S PYshkPcwkEVkp7e+wKAni2FhwOMYGSv19gH4d08M7DtmWnHnHPSdYDVmN483s8nVEcdHkKp/hBqf YccACWhonI6ASAZBdFTp5apMTIXj4eomzzdrdHH0zdfrm+U8aZex4nLdOh8+CtAkbkrqUPoEz04P PsR0WHEJSemDkvVBKpUM11Z75ciJYZvs9wf8UgVY5TRMGdKXdLNarEYGpj4/hcjT9zcILQP2u5K6 pOtrECsibx9MnboxMKnGPaaszJnIyN3IYhiq4SxMBfULUupg7GucQ9x04H5Q0mNPl9Tg0FGiPhkU ZTNfLuMIJGO5erdAw0091dTDDEegkgZKxu0+jGNztE62Hb5zaYM7FPIgE8VR8TGnc9bYtYn584TF sZjaKerXf2D3EwAA//8DAFBLAwQUAAYACAAAACEA1GUsNtwAAAAHAQAADwAAAGRycy9kb3ducmV2 LnhtbEyPzU7DMBCE70i8g7VI3KjTFEESsqkQ4u9YGg4cnXiJo8brKHbawNNjTnAczWjmm3K72EEc afK9Y4T1KgFB3Drdc4fwXj9dZSB8UKzV4JgQvsjDtjo/K1Wh3Ynf6LgPnYgl7AuFYEIYCyl9a8gq v3IjcfQ+3WRViHLqpJ7UKZbbQaZJciOt6jkuGDXSg6H2sJ8twuPBvD7v8lnTt2ny25ek/qCsRry8 WO7vQARawl8YfvEjOlSRqXEzay8GhHgkIKSbFER0s811PNIgbNZ5BrIq5X/+6gcAAP//AwBQSwEC LQAUAAYACAAAACEAtoM4kv4AAADhAQAAEwAAAAAAAAAAAAAAAAAAAAAAW0NvbnRlbnRfVHlwZXNd LnhtbFBLAQItABQABgAIAAAAIQA4/SH/1gAAAJQBAAALAAAAAAAAAAAAAAAAAC8BAABfcmVscy8u cmVsc1BLAQItABQABgAIAAAAIQC7cYirKgIAAE8EAAAOAAAAAAAAAAAAAAAAAC4CAABkcnMvZTJv RG9jLnhtbFBLAQItABQABgAIAAAAIQDUZSw23AAAAAcBAAAPAAAAAAAAAAAAAAAAAIQEAABkcnMv ZG93bnJldi54bWxQSwUGAAAAAAQABADzAAAAjQUAAAAA "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Heading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64E5299D" w:rsidR="00ED2F46" w:rsidRPr="00ED2F46" w:rsidRDefault="00ED2F46" w:rsidP="006A42F1">
      <w:r w:rsidRPr="00ED2F46">
        <w:t>Titles should avoid the use of acronyms and abbreviations where possible. Colons and parentheses are not permitted.</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77777777" w:rsidR="00B2161C" w:rsidRPr="0033109F" w:rsidRDefault="00B2161C" w:rsidP="006A42F1">
      <w:r w:rsidRPr="0033109F">
        <w:t>Firstname Lastname</w:t>
      </w:r>
      <w:r w:rsidRPr="0033109F">
        <w:rPr>
          <w:vertAlign w:val="superscript"/>
        </w:rPr>
        <w:t>1</w:t>
      </w:r>
      <w:r w:rsidRPr="0033109F">
        <w:t>, Firstname Lastname</w:t>
      </w:r>
      <w:r w:rsidRPr="0033109F">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77777777" w:rsidR="00B2161C" w:rsidRPr="0033109F" w:rsidRDefault="00B2161C" w:rsidP="006A42F1">
      <w:r w:rsidRPr="0033109F">
        <w:t>corresponding author(s): Firstname Lastname (email@address)</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77777777" w:rsidR="00C658AC" w:rsidRDefault="00C658AC" w:rsidP="006A42F1">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r w:rsidRPr="0033109F">
        <w:t xml:space="preserve">No references are allowed in this section.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77777777"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706E5287" w14:textId="77777777" w:rsidR="006A42F1" w:rsidRPr="0033109F" w:rsidRDefault="006A42F1" w:rsidP="006A42F1"/>
    <w:p w14:paraId="5360E600" w14:textId="77777777" w:rsidR="006A42F1" w:rsidRDefault="00C658AC" w:rsidP="006A42F1">
      <w:pPr>
        <w:pStyle w:val="Heading3"/>
        <w:spacing w:before="0" w:after="0"/>
      </w:pPr>
      <w:r w:rsidRPr="0033109F">
        <w:t>Methods</w:t>
      </w:r>
    </w:p>
    <w:p w14:paraId="6B628391" w14:textId="28D2ED86" w:rsidR="00A968F1" w:rsidRPr="00A968F1" w:rsidRDefault="00A968F1" w:rsidP="00A968F1">
      <w:r>
        <w:t xml:space="preserve">Meshblock and remoteness geography shapefiles, and meshblock details </w:t>
      </w:r>
      <w:r>
        <w:t xml:space="preserve">details (population, number of dwellings, </w:t>
      </w:r>
      <w:r>
        <w:t xml:space="preserve">and </w:t>
      </w:r>
      <w:r>
        <w:t>lan</w:t>
      </w:r>
      <w:r>
        <w:t xml:space="preserve">d </w:t>
      </w:r>
      <w:r>
        <w:t xml:space="preserve">use categorisation) </w:t>
      </w:r>
      <w:r>
        <w:t xml:space="preserve"> and SEIFA status  datasets were obtained from the ABS website (ref ref ref ref).  The data was stored in the Postgres v 12 database, with the </w:t>
      </w:r>
      <w:r w:rsidRPr="00A968F1">
        <w:t xml:space="preserve">spatial database extender </w:t>
      </w:r>
      <w:r>
        <w:t xml:space="preserve">PostGIS installed.  The shapefile were imported using the </w:t>
      </w:r>
      <w:r w:rsidRPr="00A968F1">
        <w:t>shp2pgsql</w:t>
      </w:r>
      <w:r>
        <w:t xml:space="preserve"> utility, and stored using an ALBERS 3577 equidistant projection to facilitate distance measurements.  </w:t>
      </w:r>
    </w:p>
    <w:p w14:paraId="38E28843" w14:textId="77777777" w:rsidR="008526DD" w:rsidRDefault="008526DD" w:rsidP="008526DD"/>
    <w:p w14:paraId="4881C61B" w14:textId="1E3BD09C" w:rsidR="008526DD" w:rsidRDefault="00676DD3" w:rsidP="00676DD3">
      <w:r>
        <w:lastRenderedPageBreak/>
        <w:t>A centroid was calculated for each source meshblock, and buffers of 400, 1000, 2000 and 5000 metres were established around the centroid.  These source buffers were then intersected with all other Australian meshblocks.  Intersecting meshblocks were grouped by land use category,  allowing calculation of total area, population and number of dwellings covered by the buffer for each source meshblock, land use category and buffer radius.  W</w:t>
      </w:r>
      <w:r w:rsidR="00C405FB">
        <w:t>h</w:t>
      </w:r>
      <w:r>
        <w:t xml:space="preserve">ere  a buffer partially covered a target meshblock, the population and number of dwellings were </w:t>
      </w:r>
      <w:r w:rsidR="00D45442">
        <w:t xml:space="preserve">calculated </w:t>
      </w:r>
      <w:r>
        <w:t>proportional to the amount of coverage.</w:t>
      </w:r>
    </w:p>
    <w:p w14:paraId="10200812" w14:textId="77777777" w:rsidR="00C405FB" w:rsidRDefault="00C405FB" w:rsidP="00676DD3"/>
    <w:p w14:paraId="60FBCCB7" w14:textId="38B06681" w:rsidR="00C405FB" w:rsidRDefault="00C405FB" w:rsidP="00676DD3">
      <w:r>
        <w:t xml:space="preserve">Furthermore, each meshblock was intersected against a remoteness categorisation (ref), and assigned a remoteness index, and this data was included in the meshblock level categorisation.  </w:t>
      </w:r>
    </w:p>
    <w:p w14:paraId="4127A1BC" w14:textId="77777777" w:rsidR="00A968F1" w:rsidRDefault="00A968F1" w:rsidP="00676DD3"/>
    <w:p w14:paraId="50BAF03B" w14:textId="51E637BA" w:rsidR="00A968F1" w:rsidRPr="00676DD3" w:rsidRDefault="00A968F1" w:rsidP="00676DD3">
      <w:r>
        <w:t>R v 4, with the tidyverse, Rmarkdown and sf library were used for data validation and graph production.</w:t>
      </w:r>
    </w:p>
    <w:p w14:paraId="0756BD10" w14:textId="77777777" w:rsidR="006A42F1" w:rsidRPr="0033109F" w:rsidRDefault="006A42F1" w:rsidP="006A42F1"/>
    <w:p w14:paraId="259FBFBE" w14:textId="77777777" w:rsidR="000C0413" w:rsidRDefault="000C0413" w:rsidP="006A42F1">
      <w:pPr>
        <w:pStyle w:val="Heading3"/>
        <w:spacing w:before="0" w:after="0"/>
      </w:pPr>
      <w:r w:rsidRPr="0033109F">
        <w:t>Data Records</w:t>
      </w:r>
    </w:p>
    <w:p w14:paraId="74D92D80" w14:textId="77777777" w:rsidR="00D45442" w:rsidRDefault="00D45442" w:rsidP="00D45442"/>
    <w:p w14:paraId="7DFA21EB" w14:textId="38D87640" w:rsidR="00D45442" w:rsidRDefault="00D45442" w:rsidP="00D45442">
      <w:r>
        <w:t xml:space="preserve">The data is stored in latrobe figshare.  DOI is </w:t>
      </w:r>
      <w:r>
        <w:t>10.26181/5f583219bd440</w:t>
      </w:r>
      <w:r>
        <w:t xml:space="preserve"> . </w:t>
      </w:r>
    </w:p>
    <w:p w14:paraId="633D57C7" w14:textId="77777777" w:rsidR="00D45442" w:rsidRDefault="00D45442" w:rsidP="00D45442"/>
    <w:p w14:paraId="1A8294A9" w14:textId="18D700BB" w:rsidR="00D45442" w:rsidRDefault="00D45442" w:rsidP="00D45442">
      <w:r>
        <w:t xml:space="preserve">THe private link is </w:t>
      </w:r>
      <w:hyperlink r:id="rId9" w:tgtFrame="_blank" w:history="1">
        <w:r>
          <w:rPr>
            <w:rStyle w:val="Hyperlink"/>
            <w:rFonts w:ascii="Arial" w:hAnsi="Arial" w:cs="Arial"/>
            <w:color w:val="C7404D"/>
            <w:sz w:val="20"/>
            <w:szCs w:val="20"/>
          </w:rPr>
          <w:t>https://figshare.com/s/2b7330da75dab6a7c4a6</w:t>
        </w:r>
      </w:hyperlink>
    </w:p>
    <w:p w14:paraId="523D4326" w14:textId="77777777" w:rsidR="00D45442" w:rsidRDefault="00D45442" w:rsidP="00D45442"/>
    <w:p w14:paraId="059D8CA0" w14:textId="77A22973" w:rsidR="00D45442" w:rsidRDefault="00AC06FA" w:rsidP="00D45442">
      <w:r>
        <w:t xml:space="preserve">The data consists of five datasets, as described in </w:t>
      </w:r>
      <w:r>
        <w:fldChar w:fldCharType="begin"/>
      </w:r>
      <w:r>
        <w:instrText xml:space="preserve"> REF _Ref50544243 \h </w:instrText>
      </w:r>
      <w:r>
        <w:fldChar w:fldCharType="separate"/>
      </w:r>
      <w:r>
        <w:t xml:space="preserve">Table </w:t>
      </w:r>
      <w:r>
        <w:rPr>
          <w:noProof/>
        </w:rPr>
        <w:t>1</w:t>
      </w:r>
      <w:r>
        <w:fldChar w:fldCharType="end"/>
      </w:r>
      <w:r>
        <w:t>.</w:t>
      </w:r>
      <w:r w:rsidR="00523E80">
        <w:t xml:space="preserve"> The fields are described in </w:t>
      </w:r>
      <w:r>
        <w:t xml:space="preserve">  The schema can be seen in </w:t>
      </w:r>
      <w:r>
        <w:fldChar w:fldCharType="begin"/>
      </w:r>
      <w:r>
        <w:instrText xml:space="preserve"> REF _Ref50544323 \h </w:instrText>
      </w:r>
      <w:r>
        <w:fldChar w:fldCharType="separate"/>
      </w:r>
      <w:r>
        <w:t xml:space="preserve">Figure </w:t>
      </w:r>
      <w:r>
        <w:rPr>
          <w:noProof/>
        </w:rPr>
        <w:t>1</w:t>
      </w:r>
      <w:r>
        <w:fldChar w:fldCharType="end"/>
      </w:r>
      <w:r>
        <w:t>.</w:t>
      </w:r>
    </w:p>
    <w:p w14:paraId="7539CB30" w14:textId="77777777" w:rsidR="00AC06FA" w:rsidRDefault="00AC06FA" w:rsidP="00D45442"/>
    <w:p w14:paraId="13D3F3FC" w14:textId="3FEC78AF" w:rsidR="00AC06FA" w:rsidRDefault="00AC06FA" w:rsidP="00AC06FA">
      <w:pPr>
        <w:pStyle w:val="Caption"/>
        <w:keepNext/>
      </w:pPr>
      <w:bookmarkStart w:id="0" w:name="_Ref50544243"/>
      <w:r>
        <w:t xml:space="preserve">Table </w:t>
      </w:r>
      <w:fldSimple w:instr=" SEQ Table \* ARABIC ">
        <w:r>
          <w:rPr>
            <w:noProof/>
          </w:rPr>
          <w:t>1</w:t>
        </w:r>
      </w:fldSimple>
      <w:bookmarkEnd w:id="0"/>
      <w:r>
        <w:t xml:space="preserve"> - Table level description of dataset</w:t>
      </w:r>
    </w:p>
    <w:tbl>
      <w:tblPr>
        <w:tblStyle w:val="TableGrid"/>
        <w:tblW w:w="0" w:type="auto"/>
        <w:tblLook w:val="04A0" w:firstRow="1" w:lastRow="0" w:firstColumn="1" w:lastColumn="0" w:noHBand="0" w:noVBand="1"/>
      </w:tblPr>
      <w:tblGrid>
        <w:gridCol w:w="2437"/>
        <w:gridCol w:w="6113"/>
      </w:tblGrid>
      <w:tr w:rsidR="00AC06FA" w14:paraId="26EBFF3F" w14:textId="77777777" w:rsidTr="00AC06FA">
        <w:tc>
          <w:tcPr>
            <w:tcW w:w="1526" w:type="dxa"/>
          </w:tcPr>
          <w:p w14:paraId="5071803C" w14:textId="521DE95A" w:rsidR="00AC06FA" w:rsidRDefault="00AC06FA" w:rsidP="00D45442">
            <w:r>
              <w:t>Table Name</w:t>
            </w:r>
          </w:p>
        </w:tc>
        <w:tc>
          <w:tcPr>
            <w:tcW w:w="7024" w:type="dxa"/>
          </w:tcPr>
          <w:p w14:paraId="2D516713" w14:textId="2F97C695" w:rsidR="00AC06FA" w:rsidRDefault="00AC06FA" w:rsidP="00D45442">
            <w:r>
              <w:t>Description</w:t>
            </w:r>
          </w:p>
        </w:tc>
      </w:tr>
      <w:tr w:rsidR="00D1482D" w14:paraId="3D4CBDC9" w14:textId="77777777" w:rsidTr="00AC06FA">
        <w:tc>
          <w:tcPr>
            <w:tcW w:w="1526" w:type="dxa"/>
          </w:tcPr>
          <w:p w14:paraId="46ABE855" w14:textId="3F95B2DF" w:rsidR="00D1482D" w:rsidRDefault="00D1482D" w:rsidP="00D45442">
            <w:r w:rsidRPr="00853943">
              <w:t>meshblock_concordance</w:t>
            </w:r>
          </w:p>
        </w:tc>
        <w:tc>
          <w:tcPr>
            <w:tcW w:w="7024" w:type="dxa"/>
          </w:tcPr>
          <w:p w14:paraId="4BFCD38E" w14:textId="04F0EFEA" w:rsidR="00D1482D" w:rsidRDefault="00D1482D" w:rsidP="00523E80">
            <w:r>
              <w:t xml:space="preserve">Meshblock to </w:t>
            </w:r>
            <w:r w:rsidRPr="00853943">
              <w:t>meshblock concordance</w:t>
            </w:r>
            <w:r>
              <w:t>,</w:t>
            </w:r>
            <w:r w:rsidRPr="00853943">
              <w:t xml:space="preserve"> listing every meshblock </w:t>
            </w:r>
            <w:r w:rsidR="00523E80">
              <w:t xml:space="preserve">in the neighbourhood of another meshblock.  Neighbourhood of a source meshblock is defined as a meshblock that has part or all of it's area </w:t>
            </w:r>
            <w:r w:rsidRPr="00853943">
              <w:t>overlapped by</w:t>
            </w:r>
            <w:r>
              <w:t xml:space="preserve"> various sized buffers</w:t>
            </w:r>
            <w:r w:rsidRPr="00853943">
              <w:t xml:space="preserve"> from centroid of </w:t>
            </w:r>
            <w:r w:rsidR="00523E80">
              <w:t xml:space="preserve">the </w:t>
            </w:r>
            <w:r>
              <w:t>source meshblock</w:t>
            </w:r>
          </w:p>
        </w:tc>
      </w:tr>
      <w:tr w:rsidR="00D1482D" w14:paraId="7EC4D0EF" w14:textId="77777777" w:rsidTr="00AC06FA">
        <w:tc>
          <w:tcPr>
            <w:tcW w:w="1526" w:type="dxa"/>
          </w:tcPr>
          <w:p w14:paraId="4419A1A2" w14:textId="19E9DD25" w:rsidR="00D1482D" w:rsidRDefault="00D1482D" w:rsidP="00D45442">
            <w:r w:rsidRPr="00853943">
              <w:t>meshblock_detail</w:t>
            </w:r>
          </w:p>
        </w:tc>
        <w:tc>
          <w:tcPr>
            <w:tcW w:w="7024" w:type="dxa"/>
          </w:tcPr>
          <w:p w14:paraId="265AA6FC" w14:textId="65E4E676" w:rsidR="00D1482D" w:rsidRDefault="00D1482D" w:rsidP="00D45442">
            <w:r w:rsidRPr="00853943">
              <w:t xml:space="preserve">Summary </w:t>
            </w:r>
            <w:r w:rsidR="00523E80">
              <w:t xml:space="preserve">statistics </w:t>
            </w:r>
            <w:r w:rsidRPr="00853943">
              <w:t>of each meshblock</w:t>
            </w:r>
            <w:r w:rsidR="00523E80">
              <w:t xml:space="preserve">, including the area, number of people and dwellings, the land use category, and which remoteness category and SA1 it belongs to. </w:t>
            </w:r>
          </w:p>
        </w:tc>
      </w:tr>
      <w:tr w:rsidR="00D1482D" w14:paraId="424C74D4" w14:textId="77777777" w:rsidTr="00AC06FA">
        <w:tc>
          <w:tcPr>
            <w:tcW w:w="1526" w:type="dxa"/>
          </w:tcPr>
          <w:p w14:paraId="5F90544A" w14:textId="097B97AB" w:rsidR="00D1482D" w:rsidRDefault="00D1482D" w:rsidP="00D45442">
            <w:r w:rsidRPr="00853943">
              <w:t>meshblock_statistics</w:t>
            </w:r>
          </w:p>
        </w:tc>
        <w:tc>
          <w:tcPr>
            <w:tcW w:w="7024" w:type="dxa"/>
          </w:tcPr>
          <w:p w14:paraId="3EFE7147" w14:textId="44AC2822" w:rsidR="00D1482D" w:rsidRDefault="00523E80" w:rsidP="00523E80">
            <w:r>
              <w:t>A summary of the n</w:t>
            </w:r>
            <w:r w:rsidR="00D1482D" w:rsidRPr="00853943">
              <w:t xml:space="preserve">eighbourhood </w:t>
            </w:r>
            <w:r>
              <w:t>of each source meshblock, where neighbourhood includes the details of meshblocks within a certain distance from from the centroid of the source meshblock</w:t>
            </w:r>
          </w:p>
        </w:tc>
      </w:tr>
      <w:tr w:rsidR="00D1482D" w14:paraId="09C155C3" w14:textId="77777777" w:rsidTr="00AC06FA">
        <w:tc>
          <w:tcPr>
            <w:tcW w:w="1526" w:type="dxa"/>
          </w:tcPr>
          <w:p w14:paraId="0A2AC029" w14:textId="01E0B584" w:rsidR="00D1482D" w:rsidRDefault="00D1482D" w:rsidP="00D45442">
            <w:r w:rsidRPr="00853943">
              <w:t>remote_detail</w:t>
            </w:r>
          </w:p>
        </w:tc>
        <w:tc>
          <w:tcPr>
            <w:tcW w:w="7024" w:type="dxa"/>
          </w:tcPr>
          <w:p w14:paraId="251AA1E3" w14:textId="206ABA9A" w:rsidR="00D1482D" w:rsidRDefault="00523E80" w:rsidP="00523E80">
            <w:r>
              <w:t xml:space="preserve">The description of each remoteness </w:t>
            </w:r>
            <w:r w:rsidR="00D1482D" w:rsidRPr="00853943">
              <w:t>category</w:t>
            </w:r>
          </w:p>
        </w:tc>
      </w:tr>
      <w:tr w:rsidR="00D1482D" w14:paraId="0B83C51F" w14:textId="77777777" w:rsidTr="00AC06FA">
        <w:tc>
          <w:tcPr>
            <w:tcW w:w="1526" w:type="dxa"/>
          </w:tcPr>
          <w:p w14:paraId="5903DA94" w14:textId="33660C30" w:rsidR="00D1482D" w:rsidRDefault="00D1482D" w:rsidP="00D45442">
            <w:r w:rsidRPr="00853943">
              <w:t>sa1_seifa</w:t>
            </w:r>
          </w:p>
        </w:tc>
        <w:tc>
          <w:tcPr>
            <w:tcW w:w="7024" w:type="dxa"/>
          </w:tcPr>
          <w:p w14:paraId="03E53736" w14:textId="77C73373" w:rsidR="00D1482D" w:rsidRDefault="00523E80" w:rsidP="00523E80">
            <w:r>
              <w:t xml:space="preserve">SEIFA statistics </w:t>
            </w:r>
            <w:r w:rsidR="00D1482D" w:rsidRPr="00853943">
              <w:t xml:space="preserve">at </w:t>
            </w:r>
            <w:r>
              <w:t xml:space="preserve">the </w:t>
            </w:r>
            <w:r w:rsidR="00D1482D" w:rsidRPr="00853943">
              <w:t>SA1 granularity</w:t>
            </w:r>
            <w:r>
              <w:t>.</w:t>
            </w:r>
          </w:p>
        </w:tc>
      </w:tr>
    </w:tbl>
    <w:p w14:paraId="558B3328" w14:textId="77777777" w:rsidR="00AC06FA" w:rsidRDefault="00AC06FA" w:rsidP="00D45442"/>
    <w:p w14:paraId="729B53BF" w14:textId="77777777" w:rsidR="00AC06FA" w:rsidRDefault="00AC06FA" w:rsidP="00D45442"/>
    <w:p w14:paraId="7F46E361" w14:textId="77777777" w:rsidR="00AC06FA" w:rsidRDefault="00AC06FA" w:rsidP="00AC06FA">
      <w:pPr>
        <w:keepNext/>
      </w:pPr>
      <w:r>
        <w:rPr>
          <w:noProof/>
          <w:lang w:val="en-AU" w:eastAsia="en-AU"/>
        </w:rPr>
        <w:lastRenderedPageBreak/>
        <w:drawing>
          <wp:inline distT="0" distB="0" distL="0" distR="0" wp14:anchorId="187AC23F" wp14:editId="622516E5">
            <wp:extent cx="5327015" cy="2560320"/>
            <wp:effectExtent l="0" t="0" r="6985" b="0"/>
            <wp:docPr id="2" name="Picture 2" descr="Z:\home\dewoller\screenshots\Selection_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dewoller\screenshots\Selection_0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7015" cy="2560320"/>
                    </a:xfrm>
                    <a:prstGeom prst="rect">
                      <a:avLst/>
                    </a:prstGeom>
                    <a:noFill/>
                    <a:ln>
                      <a:noFill/>
                    </a:ln>
                  </pic:spPr>
                </pic:pic>
              </a:graphicData>
            </a:graphic>
          </wp:inline>
        </w:drawing>
      </w:r>
    </w:p>
    <w:p w14:paraId="5CC2F93F" w14:textId="0C8F576A" w:rsidR="00AC06FA" w:rsidRDefault="00AC06FA" w:rsidP="00AC06FA">
      <w:pPr>
        <w:pStyle w:val="Caption"/>
      </w:pPr>
      <w:bookmarkStart w:id="1" w:name="_Ref50544323"/>
      <w:r>
        <w:t xml:space="preserve">Figure </w:t>
      </w:r>
      <w:fldSimple w:instr=" SEQ Figure \* ARABIC ">
        <w:r w:rsidR="00B07C38">
          <w:rPr>
            <w:noProof/>
          </w:rPr>
          <w:t>1</w:t>
        </w:r>
      </w:fldSimple>
      <w:bookmarkEnd w:id="1"/>
      <w:r>
        <w:t>- Data schema</w:t>
      </w:r>
    </w:p>
    <w:p w14:paraId="492977D4" w14:textId="5E2737D3" w:rsidR="00D45442" w:rsidRDefault="00503868" w:rsidP="00D45442">
      <w:r>
        <w:t xml:space="preserve">Each table </w:t>
      </w:r>
      <w:r w:rsidR="00C54F36">
        <w:t>is provided in CSV format</w:t>
      </w:r>
      <w:r>
        <w:t xml:space="preserve">, with the </w:t>
      </w:r>
    </w:p>
    <w:p w14:paraId="7856A035" w14:textId="77777777" w:rsidR="000134DB" w:rsidRDefault="000134DB" w:rsidP="00D45442"/>
    <w:tbl>
      <w:tblPr>
        <w:tblStyle w:val="TableGrid"/>
        <w:tblW w:w="0" w:type="auto"/>
        <w:tblLook w:val="04A0" w:firstRow="1" w:lastRow="0" w:firstColumn="1" w:lastColumn="0" w:noHBand="0" w:noVBand="1"/>
      </w:tblPr>
      <w:tblGrid>
        <w:gridCol w:w="4275"/>
        <w:gridCol w:w="4275"/>
      </w:tblGrid>
      <w:tr w:rsidR="000134DB" w:rsidRPr="000134DB" w14:paraId="5E50FABD" w14:textId="77777777" w:rsidTr="009A0744">
        <w:tc>
          <w:tcPr>
            <w:tcW w:w="4275" w:type="dxa"/>
          </w:tcPr>
          <w:p w14:paraId="5E77E6AB" w14:textId="7BDEEAB4" w:rsidR="000134DB" w:rsidRDefault="000134DB" w:rsidP="00267BE4">
            <w:r>
              <w:t>Table</w:t>
            </w:r>
          </w:p>
        </w:tc>
        <w:tc>
          <w:tcPr>
            <w:tcW w:w="4275" w:type="dxa"/>
          </w:tcPr>
          <w:p w14:paraId="14FAC1B0" w14:textId="10FE3F18" w:rsidR="000134DB" w:rsidRPr="000134DB" w:rsidRDefault="000134DB" w:rsidP="00267BE4">
            <w:r>
              <w:t>Number of Records</w:t>
            </w:r>
          </w:p>
        </w:tc>
      </w:tr>
      <w:tr w:rsidR="000134DB" w:rsidRPr="000134DB" w14:paraId="0CAA795D" w14:textId="77777777" w:rsidTr="009A0744">
        <w:tc>
          <w:tcPr>
            <w:tcW w:w="4275" w:type="dxa"/>
          </w:tcPr>
          <w:p w14:paraId="7A18CE44" w14:textId="31DEE963" w:rsidR="000134DB" w:rsidRPr="000134DB" w:rsidRDefault="000134DB" w:rsidP="00062BAA">
            <w:r w:rsidRPr="000134DB">
              <w:t>meshblock_concordance.csv</w:t>
            </w:r>
          </w:p>
        </w:tc>
        <w:tc>
          <w:tcPr>
            <w:tcW w:w="4275" w:type="dxa"/>
          </w:tcPr>
          <w:p w14:paraId="58EFFBAF" w14:textId="38D90EC8" w:rsidR="000134DB" w:rsidRPr="000134DB" w:rsidRDefault="000134DB" w:rsidP="00062BAA">
            <w:r w:rsidRPr="000134DB">
              <w:t>524060194</w:t>
            </w:r>
          </w:p>
        </w:tc>
      </w:tr>
      <w:tr w:rsidR="000134DB" w:rsidRPr="000134DB" w14:paraId="6DF19FA5" w14:textId="77777777" w:rsidTr="009A0744">
        <w:tc>
          <w:tcPr>
            <w:tcW w:w="4275" w:type="dxa"/>
          </w:tcPr>
          <w:p w14:paraId="448515DB" w14:textId="4FAC4751" w:rsidR="000134DB" w:rsidRPr="000134DB" w:rsidRDefault="000134DB" w:rsidP="00062BAA">
            <w:r w:rsidRPr="000134DB">
              <w:t>meshblock_detail.csv</w:t>
            </w:r>
          </w:p>
        </w:tc>
        <w:tc>
          <w:tcPr>
            <w:tcW w:w="4275" w:type="dxa"/>
          </w:tcPr>
          <w:p w14:paraId="02FE8C80" w14:textId="24AE0F13" w:rsidR="000134DB" w:rsidRPr="000134DB" w:rsidRDefault="000134DB" w:rsidP="00062BAA">
            <w:r w:rsidRPr="000134DB">
              <w:t>358122</w:t>
            </w:r>
          </w:p>
        </w:tc>
      </w:tr>
      <w:tr w:rsidR="000134DB" w:rsidRPr="000134DB" w14:paraId="616D5CEA" w14:textId="77777777" w:rsidTr="009A0744">
        <w:tc>
          <w:tcPr>
            <w:tcW w:w="4275" w:type="dxa"/>
          </w:tcPr>
          <w:p w14:paraId="7BAEC43B" w14:textId="1F38CBCA" w:rsidR="000134DB" w:rsidRPr="000134DB" w:rsidRDefault="000134DB" w:rsidP="00062BAA">
            <w:r w:rsidRPr="000134DB">
              <w:t>meshblock_statistics.csv</w:t>
            </w:r>
          </w:p>
        </w:tc>
        <w:tc>
          <w:tcPr>
            <w:tcW w:w="4275" w:type="dxa"/>
          </w:tcPr>
          <w:p w14:paraId="69867426" w14:textId="40A4571D" w:rsidR="000134DB" w:rsidRPr="000134DB" w:rsidRDefault="000134DB" w:rsidP="00062BAA">
            <w:r w:rsidRPr="000134DB">
              <w:t>7184849</w:t>
            </w:r>
          </w:p>
        </w:tc>
      </w:tr>
      <w:tr w:rsidR="000134DB" w:rsidRPr="000134DB" w14:paraId="5D9C76DA" w14:textId="77777777" w:rsidTr="009A0744">
        <w:tc>
          <w:tcPr>
            <w:tcW w:w="4275" w:type="dxa"/>
          </w:tcPr>
          <w:p w14:paraId="0CC53697" w14:textId="60EEC44C" w:rsidR="000134DB" w:rsidRPr="000134DB" w:rsidRDefault="000134DB" w:rsidP="00062BAA">
            <w:r w:rsidRPr="000134DB">
              <w:t>remote_detail.csv</w:t>
            </w:r>
          </w:p>
        </w:tc>
        <w:tc>
          <w:tcPr>
            <w:tcW w:w="4275" w:type="dxa"/>
          </w:tcPr>
          <w:p w14:paraId="3B9266E2" w14:textId="7AAAFD52" w:rsidR="000134DB" w:rsidRPr="000134DB" w:rsidRDefault="000134DB" w:rsidP="00062BAA">
            <w:r w:rsidRPr="000134DB">
              <w:t>53</w:t>
            </w:r>
          </w:p>
        </w:tc>
      </w:tr>
      <w:tr w:rsidR="000134DB" w:rsidRPr="000134DB" w14:paraId="0FDE0FC5" w14:textId="77777777" w:rsidTr="009A0744">
        <w:tc>
          <w:tcPr>
            <w:tcW w:w="4275" w:type="dxa"/>
          </w:tcPr>
          <w:p w14:paraId="2207D6EE" w14:textId="42ED6F20" w:rsidR="000134DB" w:rsidRPr="000134DB" w:rsidRDefault="000134DB" w:rsidP="00062BAA">
            <w:r w:rsidRPr="000134DB">
              <w:t>sa1_seifa.csv</w:t>
            </w:r>
          </w:p>
        </w:tc>
        <w:tc>
          <w:tcPr>
            <w:tcW w:w="4275" w:type="dxa"/>
          </w:tcPr>
          <w:p w14:paraId="5688814E" w14:textId="04CC05D1" w:rsidR="000134DB" w:rsidRPr="000134DB" w:rsidRDefault="000134DB" w:rsidP="00062BAA">
            <w:r w:rsidRPr="000134DB">
              <w:t>57523</w:t>
            </w:r>
          </w:p>
        </w:tc>
      </w:tr>
    </w:tbl>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A9A2410" w:rsidR="000C0413" w:rsidRDefault="004E0C09" w:rsidP="004E0C09">
      <w:r>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5E2C55CE" w14:textId="77777777" w:rsidR="004E0C09" w:rsidRPr="0033109F" w:rsidRDefault="004E0C09" w:rsidP="004E0C09"/>
    <w:p w14:paraId="1BD3F870" w14:textId="77777777" w:rsidR="00C658AC" w:rsidRDefault="00C658AC" w:rsidP="006A42F1">
      <w:pPr>
        <w:pStyle w:val="Heading3"/>
        <w:spacing w:before="0" w:after="0"/>
      </w:pPr>
      <w:r w:rsidRPr="0033109F">
        <w:t>Technical Validation</w:t>
      </w:r>
    </w:p>
    <w:p w14:paraId="20A215E7" w14:textId="77777777" w:rsidR="001A1958" w:rsidRDefault="001A1958" w:rsidP="001A1958"/>
    <w:p w14:paraId="39235873" w14:textId="3ECB6D76" w:rsidR="000057E8" w:rsidRDefault="000057E8" w:rsidP="001A1958">
      <w:r>
        <w:t xml:space="preserve">Meshblocks cover the vast majority of the australian landmass.  Therefore, each buffer around them meshblock centroid should interesect with a total meshblock area that is the same as the area of the circle of the target distance.  For example, a 5000m target buffer should cover pi x 5000^2 sqm, or 78 sq km.  The graph below shows that most meshblock buffers in total cover  the appropriate area.  </w:t>
      </w:r>
    </w:p>
    <w:p w14:paraId="591F421B" w14:textId="77777777" w:rsidR="005423A5" w:rsidRDefault="005423A5" w:rsidP="001A1958"/>
    <w:p w14:paraId="0244EE6B" w14:textId="77777777" w:rsidR="005423A5" w:rsidRDefault="005423A5" w:rsidP="001A1958"/>
    <w:p w14:paraId="0C2D3EB5" w14:textId="77777777" w:rsidR="000057E8" w:rsidRDefault="000057E8" w:rsidP="001A1958"/>
    <w:p w14:paraId="1D062CA4" w14:textId="079AFADC" w:rsidR="000057E8" w:rsidRDefault="000057E8" w:rsidP="001A1958">
      <w:r>
        <w:t xml:space="preserve">We examined </w:t>
      </w:r>
      <w:r w:rsidR="00B07C38">
        <w:t>10</w:t>
      </w:r>
      <w:r>
        <w:t xml:space="preserve">0  random points that did not have full coverage.  In these cases, we found that the meshblock buffer covered geography contained space that was not covered by a </w:t>
      </w:r>
      <w:r w:rsidR="00B07C38">
        <w:t xml:space="preserve">defined </w:t>
      </w:r>
      <w:r>
        <w:t xml:space="preserve">meshblock.  </w:t>
      </w:r>
      <w:r w:rsidR="00B07C38">
        <w:t xml:space="preserve">At its most extreme, this was </w:t>
      </w:r>
      <w:r>
        <w:t xml:space="preserve">the meshblock </w:t>
      </w:r>
      <w:r w:rsidR="00B07C38">
        <w:t xml:space="preserve">was a small island, and the </w:t>
      </w:r>
      <w:r>
        <w:t xml:space="preserve">buffer </w:t>
      </w:r>
      <w:r w:rsidR="00B07C38">
        <w:t>covered ocean</w:t>
      </w:r>
      <w:r>
        <w:t xml:space="preserve">.  </w:t>
      </w:r>
      <w:r w:rsidR="004F5D0B">
        <w:t xml:space="preserve"> For example, see </w:t>
      </w:r>
      <w:r w:rsidR="00B07C38">
        <w:fldChar w:fldCharType="begin"/>
      </w:r>
      <w:r w:rsidR="00B07C38">
        <w:instrText xml:space="preserve"> REF _Ref50617576 \h </w:instrText>
      </w:r>
      <w:r w:rsidR="00B07C38">
        <w:fldChar w:fldCharType="separate"/>
      </w:r>
      <w:r w:rsidR="00B07C38">
        <w:t xml:space="preserve">Figure </w:t>
      </w:r>
      <w:r w:rsidR="00B07C38">
        <w:rPr>
          <w:noProof/>
        </w:rPr>
        <w:t>2</w:t>
      </w:r>
      <w:r w:rsidR="00B07C38">
        <w:fldChar w:fldCharType="end"/>
      </w:r>
      <w:r w:rsidR="00B07C38">
        <w:t xml:space="preserve">.  We dealt with this case by calculating the neighbourhood land use proportion based on the total buffer meshblock intersection area, </w:t>
      </w:r>
      <w:bookmarkStart w:id="2" w:name="_GoBack"/>
      <w:bookmarkEnd w:id="2"/>
      <w:r w:rsidR="00B07C38">
        <w:t>rather than the area of the actual meshblock buffer.</w:t>
      </w:r>
    </w:p>
    <w:p w14:paraId="35E5D42A" w14:textId="77777777" w:rsidR="00B07C38" w:rsidRDefault="00B07C38" w:rsidP="001A1958"/>
    <w:p w14:paraId="0906DFFB" w14:textId="77777777" w:rsidR="00B07C38" w:rsidRDefault="00B07C38" w:rsidP="00B07C38">
      <w:pPr>
        <w:pStyle w:val="Caption"/>
      </w:pPr>
      <w:bookmarkStart w:id="3" w:name="_Ref50617576"/>
      <w:r>
        <w:t xml:space="preserve">Figure </w:t>
      </w:r>
      <w:fldSimple w:instr=" SEQ Figure \* ARABIC ">
        <w:r>
          <w:rPr>
            <w:noProof/>
          </w:rPr>
          <w:t>2</w:t>
        </w:r>
      </w:fldSimple>
      <w:bookmarkEnd w:id="3"/>
      <w:r>
        <w:t xml:space="preserve"> - Island meshblock where the buffer covers ocean</w:t>
      </w:r>
    </w:p>
    <w:p w14:paraId="50F2CFE7" w14:textId="67CB5B73" w:rsidR="00B07C38" w:rsidRDefault="00B07C38" w:rsidP="00B07C38">
      <w:pPr>
        <w:pStyle w:val="Caption"/>
      </w:pPr>
      <w:r>
        <w:rPr>
          <w:noProof/>
          <w:lang w:val="en-AU" w:eastAsia="en-AU"/>
        </w:rPr>
        <w:drawing>
          <wp:inline distT="0" distB="0" distL="0" distR="0" wp14:anchorId="78C1A57E" wp14:editId="66745ED7">
            <wp:extent cx="4754880" cy="3179445"/>
            <wp:effectExtent l="0" t="0" r="7620" b="1905"/>
            <wp:docPr id="3" name="Picture 3" descr="Z:\home\dewoller\screenshots\Selection_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ome\dewoller\screenshots\Selection_08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3179445"/>
                    </a:xfrm>
                    <a:prstGeom prst="rect">
                      <a:avLst/>
                    </a:prstGeom>
                    <a:noFill/>
                    <a:ln>
                      <a:noFill/>
                    </a:ln>
                  </pic:spPr>
                </pic:pic>
              </a:graphicData>
            </a:graphic>
          </wp:inline>
        </w:drawing>
      </w:r>
    </w:p>
    <w:p w14:paraId="63699C51" w14:textId="77777777" w:rsidR="00B07C38" w:rsidRDefault="00B07C38" w:rsidP="001A1958"/>
    <w:p w14:paraId="7324ED67" w14:textId="30AD6B2E" w:rsidR="00B07C38" w:rsidRDefault="00B07C38" w:rsidP="00B07C38">
      <w:r>
        <w:t xml:space="preserve">Another source of error came when the meshblock was broken up, and the centroid was not located in an actual meshblock.  This occurred when the meshblock describes a set of small islands, for example.  In some cases, this led to a situation where the buffer did not even include any of the original meshblock.   </w:t>
      </w:r>
      <w:r>
        <w:t>This is a problem with using centroids in general</w:t>
      </w:r>
      <w:r>
        <w:t xml:space="preserve">, and we cannot see a way around it.  For example, see </w:t>
      </w:r>
      <w:r>
        <w:fldChar w:fldCharType="begin"/>
      </w:r>
      <w:r>
        <w:instrText xml:space="preserve"> REF _Ref50618107 \h </w:instrText>
      </w:r>
      <w:r>
        <w:fldChar w:fldCharType="separate"/>
      </w:r>
      <w:r>
        <w:t xml:space="preserve">Figure </w:t>
      </w:r>
      <w:r>
        <w:rPr>
          <w:noProof/>
        </w:rPr>
        <w:t>3</w:t>
      </w:r>
      <w:r>
        <w:fldChar w:fldCharType="end"/>
      </w:r>
      <w:r>
        <w:t xml:space="preserve"> and </w:t>
      </w:r>
      <w:r>
        <w:fldChar w:fldCharType="begin"/>
      </w:r>
      <w:r>
        <w:instrText xml:space="preserve"> REF _Ref50618108 \h </w:instrText>
      </w:r>
      <w:r>
        <w:fldChar w:fldCharType="separate"/>
      </w:r>
      <w:r>
        <w:t xml:space="preserve">Figure </w:t>
      </w:r>
      <w:r>
        <w:rPr>
          <w:noProof/>
        </w:rPr>
        <w:t>4</w:t>
      </w:r>
      <w:r>
        <w:fldChar w:fldCharType="end"/>
      </w:r>
    </w:p>
    <w:p w14:paraId="13EB93A9" w14:textId="77777777" w:rsidR="00B07C38" w:rsidRDefault="00B07C38" w:rsidP="001A1958"/>
    <w:p w14:paraId="484AD564" w14:textId="77777777" w:rsidR="00B07C38" w:rsidRDefault="00B07C38" w:rsidP="001A1958"/>
    <w:p w14:paraId="790FA328" w14:textId="77777777" w:rsidR="00B07C38" w:rsidRDefault="00B07C38" w:rsidP="001A1958"/>
    <w:p w14:paraId="752D1CBF" w14:textId="77777777" w:rsidR="00B07C38" w:rsidRDefault="00B07C38" w:rsidP="00B07C38">
      <w:pPr>
        <w:keepNext/>
      </w:pPr>
      <w:r>
        <w:rPr>
          <w:noProof/>
          <w:lang w:val="en-AU" w:eastAsia="en-AU"/>
        </w:rPr>
        <w:drawing>
          <wp:inline distT="0" distB="0" distL="0" distR="0" wp14:anchorId="5D3ADCCA" wp14:editId="4C7B243B">
            <wp:extent cx="4631055" cy="3150235"/>
            <wp:effectExtent l="0" t="0" r="0" b="0"/>
            <wp:docPr id="4" name="Picture 4" descr="../../../../../screenshots/Selection_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Selection_0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055" cy="3150235"/>
                    </a:xfrm>
                    <a:prstGeom prst="rect">
                      <a:avLst/>
                    </a:prstGeom>
                    <a:noFill/>
                    <a:ln>
                      <a:noFill/>
                    </a:ln>
                  </pic:spPr>
                </pic:pic>
              </a:graphicData>
            </a:graphic>
          </wp:inline>
        </w:drawing>
      </w:r>
    </w:p>
    <w:p w14:paraId="5EB4B9FB" w14:textId="7CB4C85D" w:rsidR="00B07C38" w:rsidRDefault="00B07C38" w:rsidP="00B07C38">
      <w:pPr>
        <w:pStyle w:val="Caption"/>
      </w:pPr>
      <w:bookmarkStart w:id="4" w:name="_Ref50618107"/>
      <w:r>
        <w:t xml:space="preserve">Figure </w:t>
      </w:r>
      <w:fldSimple w:instr=" SEQ Figure \* ARABIC ">
        <w:r>
          <w:rPr>
            <w:noProof/>
          </w:rPr>
          <w:t>3</w:t>
        </w:r>
      </w:fldSimple>
      <w:bookmarkEnd w:id="4"/>
      <w:r>
        <w:t xml:space="preserve"> - Meshblock </w:t>
      </w:r>
      <w:r w:rsidRPr="00C3402E">
        <w:t>10977061000</w:t>
      </w:r>
      <w:r>
        <w:t>, which include coastline and islands.</w:t>
      </w:r>
    </w:p>
    <w:p w14:paraId="301888DE" w14:textId="77777777" w:rsidR="00B07C38" w:rsidRDefault="00B07C38" w:rsidP="00B07C38">
      <w:pPr>
        <w:keepNext/>
      </w:pPr>
      <w:r>
        <w:rPr>
          <w:noProof/>
          <w:lang w:val="en-AU" w:eastAsia="en-AU"/>
        </w:rPr>
        <w:lastRenderedPageBreak/>
        <w:drawing>
          <wp:inline distT="0" distB="0" distL="0" distR="0" wp14:anchorId="0223F74E" wp14:editId="500F62F9">
            <wp:extent cx="4631055" cy="3162300"/>
            <wp:effectExtent l="0" t="0" r="0" b="0"/>
            <wp:docPr id="5" name="Picture 5" descr="../../../../../screenshots/Selection_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Selection_08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1055" cy="3162300"/>
                    </a:xfrm>
                    <a:prstGeom prst="rect">
                      <a:avLst/>
                    </a:prstGeom>
                    <a:noFill/>
                    <a:ln>
                      <a:noFill/>
                    </a:ln>
                  </pic:spPr>
                </pic:pic>
              </a:graphicData>
            </a:graphic>
          </wp:inline>
        </w:drawing>
      </w:r>
    </w:p>
    <w:p w14:paraId="00F6F797" w14:textId="3DEFE04B" w:rsidR="00B07C38" w:rsidRDefault="00B07C38" w:rsidP="00B07C38">
      <w:pPr>
        <w:pStyle w:val="Caption"/>
      </w:pPr>
      <w:bookmarkStart w:id="5" w:name="_Ref50618108"/>
      <w:r>
        <w:t xml:space="preserve">Figure </w:t>
      </w:r>
      <w:fldSimple w:instr=" SEQ Figure \* ARABIC ">
        <w:r>
          <w:rPr>
            <w:noProof/>
          </w:rPr>
          <w:t>4</w:t>
        </w:r>
      </w:fldSimple>
      <w:bookmarkEnd w:id="5"/>
      <w:r>
        <w:t xml:space="preserve"> - Five km buffer around meshblock </w:t>
      </w:r>
      <w:r w:rsidRPr="00DB27D3">
        <w:t>10977061000</w:t>
      </w:r>
      <w:r>
        <w:t xml:space="preserve"> centroid</w:t>
      </w:r>
      <w:r>
        <w:rPr>
          <w:noProof/>
        </w:rPr>
        <w:t>.</w:t>
      </w:r>
    </w:p>
    <w:p w14:paraId="126E26AB" w14:textId="77777777" w:rsidR="009B5239" w:rsidRDefault="009B5239" w:rsidP="001A1958"/>
    <w:p w14:paraId="070C6FD5" w14:textId="77777777" w:rsidR="001A1958" w:rsidRPr="001A1958" w:rsidRDefault="001A1958" w:rsidP="001A1958"/>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77777777" w:rsidR="006A42F1" w:rsidRPr="0033109F" w:rsidRDefault="006A42F1"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4"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lastRenderedPageBreak/>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Default="00994267" w:rsidP="00DD2C29">
      <w:pPr>
        <w:pStyle w:val="Heading3"/>
      </w:pPr>
      <w:r>
        <w:t>Code A</w:t>
      </w:r>
      <w:r w:rsidR="00DD2C29" w:rsidRPr="00B60457">
        <w:t>vailability</w:t>
      </w:r>
    </w:p>
    <w:p w14:paraId="3E2752D4" w14:textId="77777777" w:rsidR="00DF1895" w:rsidRDefault="00DF1895" w:rsidP="00DF1895"/>
    <w:p w14:paraId="041A413F" w14:textId="232924D7" w:rsidR="00DF1895" w:rsidRPr="00DF1895" w:rsidRDefault="00DF1895" w:rsidP="00DF1895">
      <w:r>
        <w:t>The data load scripts, SQL code and R code can be found at http://github.com/dewoller/australia_neighbourhoods.</w:t>
      </w:r>
    </w:p>
    <w:p w14:paraId="32B9AE2E" w14:textId="77777777" w:rsidR="00A968F1" w:rsidRPr="00A968F1" w:rsidRDefault="00A968F1" w:rsidP="00A968F1"/>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lastRenderedPageBreak/>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5"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r>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6"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17"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8"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9"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20"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1"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2"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3"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figshare and Dryad.  </w:t>
      </w:r>
    </w:p>
    <w:sectPr w:rsidR="007646AB" w:rsidRPr="002E320D" w:rsidSect="00F46674">
      <w:footerReference w:type="default" r:id="rId24"/>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3FF0B" w14:textId="77777777" w:rsidR="00290270" w:rsidRDefault="00290270" w:rsidP="007D356C">
      <w:r>
        <w:separator/>
      </w:r>
    </w:p>
  </w:endnote>
  <w:endnote w:type="continuationSeparator" w:id="0">
    <w:p w14:paraId="518366BE" w14:textId="77777777" w:rsidR="00290270" w:rsidRDefault="00290270"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Times">
    <w:panose1 w:val="02020603050405020304"/>
    <w:charset w:val="00"/>
    <w:family w:val="auto"/>
    <w:notTrueType/>
    <w:pitch w:val="variable"/>
    <w:sig w:usb0="00000003" w:usb1="00000000" w:usb2="00000000" w:usb3="00000000" w:csb0="00000001" w:csb1="00000000"/>
  </w:font>
  <w:font w:name="MS Gothic">
    <w:altName w:val="ＭＳ ゴシック"/>
    <w:panose1 w:val="02000609000000000000"/>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00609000000000000"/>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0909"/>
      <w:docPartObj>
        <w:docPartGallery w:val="Page Numbers (Bottom of Page)"/>
        <w:docPartUnique/>
      </w:docPartObj>
    </w:sdtPr>
    <w:sdtEndPr>
      <w:rPr>
        <w:noProof/>
      </w:rPr>
    </w:sdtEndPr>
    <w:sdtContent>
      <w:p w14:paraId="3F03652B" w14:textId="3B03B5C2" w:rsidR="007D356C" w:rsidRDefault="007D356C">
        <w:pPr>
          <w:pStyle w:val="Footer"/>
          <w:jc w:val="right"/>
        </w:pPr>
        <w:r>
          <w:fldChar w:fldCharType="begin"/>
        </w:r>
        <w:r>
          <w:instrText xml:space="preserve"> PAGE   \* MERGEFORMAT </w:instrText>
        </w:r>
        <w:r>
          <w:fldChar w:fldCharType="separate"/>
        </w:r>
        <w:r w:rsidR="005423A5">
          <w:rPr>
            <w:noProof/>
          </w:rPr>
          <w:t>3</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90FCC" w14:textId="77777777" w:rsidR="00290270" w:rsidRDefault="00290270" w:rsidP="007D356C">
      <w:r>
        <w:separator/>
      </w:r>
    </w:p>
  </w:footnote>
  <w:footnote w:type="continuationSeparator" w:id="0">
    <w:p w14:paraId="72D8FF1A" w14:textId="77777777" w:rsidR="00290270" w:rsidRDefault="00290270"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442D"/>
    <w:rsid w:val="000057E8"/>
    <w:rsid w:val="000134DB"/>
    <w:rsid w:val="00031FD2"/>
    <w:rsid w:val="00070888"/>
    <w:rsid w:val="00076EE2"/>
    <w:rsid w:val="000A5234"/>
    <w:rsid w:val="000C0413"/>
    <w:rsid w:val="000C0591"/>
    <w:rsid w:val="000F3E48"/>
    <w:rsid w:val="00114EF9"/>
    <w:rsid w:val="001234F4"/>
    <w:rsid w:val="00137B87"/>
    <w:rsid w:val="00146539"/>
    <w:rsid w:val="00160DB8"/>
    <w:rsid w:val="001A0D8C"/>
    <w:rsid w:val="001A1958"/>
    <w:rsid w:val="001A42FD"/>
    <w:rsid w:val="001B77CC"/>
    <w:rsid w:val="001C5C17"/>
    <w:rsid w:val="001E69D2"/>
    <w:rsid w:val="00200EAE"/>
    <w:rsid w:val="0022668B"/>
    <w:rsid w:val="00230020"/>
    <w:rsid w:val="00255BD9"/>
    <w:rsid w:val="00257227"/>
    <w:rsid w:val="00264AB3"/>
    <w:rsid w:val="00281EFD"/>
    <w:rsid w:val="00290270"/>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B5806"/>
    <w:rsid w:val="004C6203"/>
    <w:rsid w:val="004D20F9"/>
    <w:rsid w:val="004E0C09"/>
    <w:rsid w:val="004E101E"/>
    <w:rsid w:val="004E4087"/>
    <w:rsid w:val="004F5D0B"/>
    <w:rsid w:val="00503868"/>
    <w:rsid w:val="00503E57"/>
    <w:rsid w:val="00517E04"/>
    <w:rsid w:val="00523E80"/>
    <w:rsid w:val="005306ED"/>
    <w:rsid w:val="005423A5"/>
    <w:rsid w:val="00552FEB"/>
    <w:rsid w:val="00564FDD"/>
    <w:rsid w:val="00566F9E"/>
    <w:rsid w:val="00584A60"/>
    <w:rsid w:val="005938A2"/>
    <w:rsid w:val="005B48DF"/>
    <w:rsid w:val="005D0A2A"/>
    <w:rsid w:val="005E04D0"/>
    <w:rsid w:val="005E32B5"/>
    <w:rsid w:val="006218C7"/>
    <w:rsid w:val="00636B41"/>
    <w:rsid w:val="00640A40"/>
    <w:rsid w:val="00663142"/>
    <w:rsid w:val="00676DD3"/>
    <w:rsid w:val="00676E0A"/>
    <w:rsid w:val="00696F35"/>
    <w:rsid w:val="006A42F1"/>
    <w:rsid w:val="006A5238"/>
    <w:rsid w:val="006B338E"/>
    <w:rsid w:val="006C2EB6"/>
    <w:rsid w:val="006C4B68"/>
    <w:rsid w:val="006D2C30"/>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26DD"/>
    <w:rsid w:val="008542B7"/>
    <w:rsid w:val="0085667F"/>
    <w:rsid w:val="008B68D8"/>
    <w:rsid w:val="008C064C"/>
    <w:rsid w:val="008E59C7"/>
    <w:rsid w:val="00921650"/>
    <w:rsid w:val="0092347A"/>
    <w:rsid w:val="00964B4B"/>
    <w:rsid w:val="009808C6"/>
    <w:rsid w:val="00994267"/>
    <w:rsid w:val="00997EFF"/>
    <w:rsid w:val="009A47C1"/>
    <w:rsid w:val="009B1655"/>
    <w:rsid w:val="009B5239"/>
    <w:rsid w:val="009C0966"/>
    <w:rsid w:val="009C53AA"/>
    <w:rsid w:val="009E2858"/>
    <w:rsid w:val="009E3366"/>
    <w:rsid w:val="00A00CD4"/>
    <w:rsid w:val="00A0273D"/>
    <w:rsid w:val="00A26D7B"/>
    <w:rsid w:val="00A3377F"/>
    <w:rsid w:val="00A339B8"/>
    <w:rsid w:val="00A45CF8"/>
    <w:rsid w:val="00A50262"/>
    <w:rsid w:val="00A6226A"/>
    <w:rsid w:val="00A77B0A"/>
    <w:rsid w:val="00A968F1"/>
    <w:rsid w:val="00AB27D6"/>
    <w:rsid w:val="00AC06FA"/>
    <w:rsid w:val="00AE5804"/>
    <w:rsid w:val="00AE5982"/>
    <w:rsid w:val="00AE6687"/>
    <w:rsid w:val="00B07C38"/>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405FB"/>
    <w:rsid w:val="00C5058C"/>
    <w:rsid w:val="00C52D2E"/>
    <w:rsid w:val="00C54F36"/>
    <w:rsid w:val="00C551D4"/>
    <w:rsid w:val="00C658AC"/>
    <w:rsid w:val="00C7476B"/>
    <w:rsid w:val="00C90A60"/>
    <w:rsid w:val="00C91419"/>
    <w:rsid w:val="00CB5D65"/>
    <w:rsid w:val="00CC14DE"/>
    <w:rsid w:val="00CC487F"/>
    <w:rsid w:val="00CD12A1"/>
    <w:rsid w:val="00CE3CB3"/>
    <w:rsid w:val="00CE40D3"/>
    <w:rsid w:val="00CF5515"/>
    <w:rsid w:val="00D04A0E"/>
    <w:rsid w:val="00D1482D"/>
    <w:rsid w:val="00D160BE"/>
    <w:rsid w:val="00D1675F"/>
    <w:rsid w:val="00D35B3A"/>
    <w:rsid w:val="00D45442"/>
    <w:rsid w:val="00D54F42"/>
    <w:rsid w:val="00D66597"/>
    <w:rsid w:val="00D81988"/>
    <w:rsid w:val="00DA3F84"/>
    <w:rsid w:val="00DC6CE7"/>
    <w:rsid w:val="00DD2C29"/>
    <w:rsid w:val="00DE4ADF"/>
    <w:rsid w:val="00DF1895"/>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46674"/>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table" w:styleId="TableGrid">
    <w:name w:val="Table Grid"/>
    <w:basedOn w:val="TableNormal"/>
    <w:rsid w:val="00AC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AC06F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table" w:styleId="TableGrid">
    <w:name w:val="Table Grid"/>
    <w:basedOn w:val="TableNormal"/>
    <w:rsid w:val="00AC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AC06F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doi.org/10.6084/m9.figshare.c.4064768.v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race.ddbj.nig.ac.jp/DRASearch/submission?acc=DRA004814"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identifiers.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data2018259" TargetMode="External"/><Relationship Id="rId20" Type="http://schemas.openxmlformats.org/officeDocument/2006/relationships/hyperlink" Target="http://identifiers.org/ncbi/insdc:PKMF000000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nature.com/articles/sdata2018259" TargetMode="External"/><Relationship Id="rId23" Type="http://schemas.openxmlformats.org/officeDocument/2006/relationships/hyperlink" Target="https://www.nature.com/sdata/policies/repositories" TargetMode="External"/><Relationship Id="rId10" Type="http://schemas.openxmlformats.org/officeDocument/2006/relationships/image" Target="media/image1.jpeg"/><Relationship Id="rId19" Type="http://schemas.openxmlformats.org/officeDocument/2006/relationships/hyperlink" Target="http://identifiers.org/ncbi/insdc.sra:SRP121625" TargetMode="External"/><Relationship Id="rId4" Type="http://schemas.microsoft.com/office/2007/relationships/stylesWithEffects" Target="stylesWithEffects.xml"/><Relationship Id="rId9" Type="http://schemas.openxmlformats.org/officeDocument/2006/relationships/hyperlink" Target="https://figshare.com/s/2b7330da75dab6a7c4a6" TargetMode="External"/><Relationship Id="rId14" Type="http://schemas.openxmlformats.org/officeDocument/2006/relationships/hyperlink" Target="http://www.nature.com/sdata/policies/editorial-and-publishing-policies" TargetMode="External"/><Relationship Id="rId22" Type="http://schemas.openxmlformats.org/officeDocument/2006/relationships/hyperlink" Target="http://www.nature.com/sdata/policies/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D4C5C-A8A1-40DC-9FCE-C7C34857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9</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19374</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dewoller</cp:lastModifiedBy>
  <cp:revision>10</cp:revision>
  <dcterms:created xsi:type="dcterms:W3CDTF">2020-09-09T01:02:00Z</dcterms:created>
  <dcterms:modified xsi:type="dcterms:W3CDTF">2020-09-10T23:33:00Z</dcterms:modified>
</cp:coreProperties>
</file>