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35"/>
          <w:sz w:val="96"/>
        </w:rPr>
        <w:t>ISRM</w:t>
      </w:r>
    </w:p>
    <w:p>
      <w:pPr>
        <w:jc w:val="center"/>
      </w:pPr>
      <w:r>
        <w:rPr>
          <w:color w:val="004E89"/>
          <w:sz w:val="56"/>
        </w:rPr>
        <w:t>Style Guide &amp; Design System</w:t>
      </w:r>
    </w:p>
    <w:p>
      <w:pPr>
        <w:jc w:val="center"/>
      </w:pPr>
      <w:r>
        <w:t>Interactive Scooter Repair Manuals</w:t>
      </w:r>
    </w:p>
    <w:p>
      <w:pPr>
        <w:spacing w:before="480"/>
        <w:jc w:val="center"/>
      </w:pPr>
      <w:r>
        <w:rPr>
          <w:i/>
          <w:color w:val="A0A0A0"/>
        </w:rPr>
        <w:t>Version 1.0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Table of Contents</w:t>
      </w:r>
    </w:p>
    <w:p>
      <w:pPr>
        <w:pStyle w:val="ListBullet"/>
        <w:spacing w:after="80"/>
      </w:pPr>
      <w:r>
        <w:t>1. Color Palette</w:t>
      </w:r>
    </w:p>
    <w:p>
      <w:pPr>
        <w:pStyle w:val="ListBullet"/>
        <w:spacing w:after="80"/>
      </w:pPr>
      <w:r>
        <w:t>2. Typography System</w:t>
      </w:r>
    </w:p>
    <w:p>
      <w:pPr>
        <w:pStyle w:val="ListBullet"/>
        <w:spacing w:after="80"/>
      </w:pPr>
      <w:r>
        <w:t>3. Spacing &amp; Layout</w:t>
      </w:r>
    </w:p>
    <w:p>
      <w:pPr>
        <w:pStyle w:val="ListBullet"/>
        <w:spacing w:after="80"/>
      </w:pPr>
      <w:r>
        <w:t>4. Border Radius</w:t>
      </w:r>
    </w:p>
    <w:p>
      <w:pPr>
        <w:pStyle w:val="ListBullet"/>
        <w:spacing w:after="80"/>
      </w:pPr>
      <w:r>
        <w:t>5. Shadows &amp; Effects</w:t>
      </w:r>
    </w:p>
    <w:p>
      <w:pPr>
        <w:pStyle w:val="ListBullet"/>
        <w:spacing w:after="80"/>
      </w:pPr>
      <w:r>
        <w:t>6. Component Patterns</w:t>
      </w:r>
    </w:p>
    <w:p>
      <w:pPr>
        <w:pStyle w:val="ListBullet"/>
        <w:spacing w:after="80"/>
      </w:pPr>
      <w:r>
        <w:t>7. Interactive States</w:t>
      </w:r>
    </w:p>
    <w:p>
      <w:pPr>
        <w:pStyle w:val="ListBullet"/>
        <w:spacing w:after="80"/>
      </w:pPr>
      <w:r>
        <w:t>8. Responsive Design</w:t>
      </w:r>
    </w:p>
    <w:p>
      <w:pPr>
        <w:pStyle w:val="ListBullet"/>
        <w:spacing w:after="80"/>
      </w:pPr>
      <w:r>
        <w:t>9. Animations</w:t>
      </w:r>
    </w:p>
    <w:p>
      <w:pPr>
        <w:pStyle w:val="ListBullet"/>
        <w:spacing w:after="80"/>
      </w:pPr>
      <w:r>
        <w:t>10. Implementation Guidelines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1. Color Palette</w:t>
      </w:r>
    </w:p>
    <w:p>
      <w:pPr>
        <w:pStyle w:val="Heading2"/>
        <w:spacing w:before="240" w:after="120"/>
      </w:pPr>
      <w:r>
        <w:rPr>
          <w:color w:val="004E89"/>
        </w:rPr>
        <w:t>Primary 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Color</w:t>
            </w:r>
          </w:p>
        </w:tc>
        <w:tc>
          <w:tcPr>
            <w:tcW w:type="dxa" w:w="2340"/>
          </w:tcPr>
          <w:p>
            <w:r>
              <w:t>Value</w:t>
            </w:r>
          </w:p>
        </w:tc>
        <w:tc>
          <w:tcPr>
            <w:tcW w:type="dxa" w:w="2340"/>
          </w:tcPr>
          <w:p>
            <w:r>
              <w:t>CSS Variable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  <w:shd w:fill="ff6b35"/>
          </w:tcPr>
          <w:p>
            <w:r>
              <w:t>Primary</w:t>
            </w:r>
          </w:p>
        </w:tc>
        <w:tc>
          <w:tcPr>
            <w:tcW w:type="dxa" w:w="2340"/>
          </w:tcPr>
          <w:p>
            <w:r>
              <w:t>#ff6b35</w:t>
            </w:r>
          </w:p>
        </w:tc>
        <w:tc>
          <w:tcPr>
            <w:tcW w:type="dxa" w:w="2340"/>
          </w:tcPr>
          <w:p>
            <w:r>
              <w:t>--primary</w:t>
            </w:r>
          </w:p>
        </w:tc>
        <w:tc>
          <w:tcPr>
            <w:tcW w:type="dxa" w:w="2340"/>
          </w:tcPr>
          <w:p>
            <w:r>
              <w:t>CTAs, buttons, highlights</w:t>
            </w:r>
          </w:p>
        </w:tc>
      </w:tr>
      <w:tr>
        <w:tc>
          <w:tcPr>
            <w:tcW w:type="dxa" w:w="2340"/>
            <w:shd w:fill="e55a24"/>
          </w:tcPr>
          <w:p>
            <w:r>
              <w:t>Primary Dark</w:t>
            </w:r>
          </w:p>
        </w:tc>
        <w:tc>
          <w:tcPr>
            <w:tcW w:type="dxa" w:w="2340"/>
          </w:tcPr>
          <w:p>
            <w:r>
              <w:t>#e55a24</w:t>
            </w:r>
          </w:p>
        </w:tc>
        <w:tc>
          <w:tcPr>
            <w:tcW w:type="dxa" w:w="2340"/>
          </w:tcPr>
          <w:p>
            <w:r>
              <w:t>--primary-dark</w:t>
            </w:r>
          </w:p>
        </w:tc>
        <w:tc>
          <w:tcPr>
            <w:tcW w:type="dxa" w:w="2340"/>
          </w:tcPr>
          <w:p>
            <w:r>
              <w:t>Button hover states</w:t>
            </w:r>
          </w:p>
        </w:tc>
      </w:tr>
      <w:tr>
        <w:tc>
          <w:tcPr>
            <w:tcW w:type="dxa" w:w="2340"/>
            <w:shd w:fill="ff8c5a"/>
          </w:tcPr>
          <w:p>
            <w:r>
              <w:t>Primary Light</w:t>
            </w:r>
          </w:p>
        </w:tc>
        <w:tc>
          <w:tcPr>
            <w:tcW w:type="dxa" w:w="2340"/>
          </w:tcPr>
          <w:p>
            <w:r>
              <w:t>#ff8c5a</w:t>
            </w:r>
          </w:p>
        </w:tc>
        <w:tc>
          <w:tcPr>
            <w:tcW w:type="dxa" w:w="2340"/>
          </w:tcPr>
          <w:p>
            <w:r>
              <w:t>--primary-light</w:t>
            </w:r>
          </w:p>
        </w:tc>
        <w:tc>
          <w:tcPr>
            <w:tcW w:type="dxa" w:w="2340"/>
          </w:tcPr>
          <w:p>
            <w:r>
              <w:t>Accents, secondary elements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Style w:val="Heading2"/>
        <w:spacing w:before="240" w:after="120"/>
      </w:pPr>
      <w:r>
        <w:rPr>
          <w:color w:val="004E89"/>
        </w:rPr>
        <w:t>Secondary 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Color</w:t>
            </w:r>
          </w:p>
        </w:tc>
        <w:tc>
          <w:tcPr>
            <w:tcW w:type="dxa" w:w="2340"/>
          </w:tcPr>
          <w:p>
            <w:r>
              <w:t>Value</w:t>
            </w:r>
          </w:p>
        </w:tc>
        <w:tc>
          <w:tcPr>
            <w:tcW w:type="dxa" w:w="2340"/>
          </w:tcPr>
          <w:p>
            <w:r>
              <w:t>CSS Variable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  <w:shd w:fill="004e89"/>
          </w:tcPr>
          <w:p>
            <w:r>
              <w:t>Secondary</w:t>
            </w:r>
          </w:p>
        </w:tc>
        <w:tc>
          <w:tcPr>
            <w:tcW w:type="dxa" w:w="2340"/>
          </w:tcPr>
          <w:p>
            <w:r>
              <w:t>#004e89</w:t>
            </w:r>
          </w:p>
        </w:tc>
        <w:tc>
          <w:tcPr>
            <w:tcW w:type="dxa" w:w="2340"/>
          </w:tcPr>
          <w:p>
            <w:r>
              <w:t>--secondary</w:t>
            </w:r>
          </w:p>
        </w:tc>
        <w:tc>
          <w:tcPr>
            <w:tcW w:type="dxa" w:w="2340"/>
          </w:tcPr>
          <w:p>
            <w:r>
              <w:t>Secondary actions</w:t>
            </w:r>
          </w:p>
        </w:tc>
      </w:tr>
      <w:tr>
        <w:tc>
          <w:tcPr>
            <w:tcW w:type="dxa" w:w="2340"/>
            <w:shd w:fill="00a8cc"/>
          </w:tcPr>
          <w:p>
            <w:r>
              <w:t>Accent</w:t>
            </w:r>
          </w:p>
        </w:tc>
        <w:tc>
          <w:tcPr>
            <w:tcW w:type="dxa" w:w="2340"/>
          </w:tcPr>
          <w:p>
            <w:r>
              <w:t>#00a8cc</w:t>
            </w:r>
          </w:p>
        </w:tc>
        <w:tc>
          <w:tcPr>
            <w:tcW w:type="dxa" w:w="2340"/>
          </w:tcPr>
          <w:p>
            <w:r>
              <w:t>--accent</w:t>
            </w:r>
          </w:p>
        </w:tc>
        <w:tc>
          <w:tcPr>
            <w:tcW w:type="dxa" w:w="2340"/>
          </w:tcPr>
          <w:p>
            <w:r>
              <w:t>Links, accents, badges</w:t>
            </w:r>
          </w:p>
        </w:tc>
      </w:tr>
      <w:tr>
        <w:tc>
          <w:tcPr>
            <w:tcW w:type="dxa" w:w="2340"/>
            <w:shd w:fill="00d4ff"/>
          </w:tcPr>
          <w:p>
            <w:r>
              <w:t>Accent Light</w:t>
            </w:r>
          </w:p>
        </w:tc>
        <w:tc>
          <w:tcPr>
            <w:tcW w:type="dxa" w:w="2340"/>
          </w:tcPr>
          <w:p>
            <w:r>
              <w:t>#00d4ff</w:t>
            </w:r>
          </w:p>
        </w:tc>
        <w:tc>
          <w:tcPr>
            <w:tcW w:type="dxa" w:w="2340"/>
          </w:tcPr>
          <w:p>
            <w:r>
              <w:t>--accent-light</w:t>
            </w:r>
          </w:p>
        </w:tc>
        <w:tc>
          <w:tcPr>
            <w:tcW w:type="dxa" w:w="2340"/>
          </w:tcPr>
          <w:p>
            <w:r>
              <w:t>Light accents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Style w:val="Heading2"/>
        <w:spacing w:before="240" w:after="120"/>
      </w:pPr>
      <w:r>
        <w:rPr>
          <w:color w:val="004E89"/>
        </w:rPr>
        <w:t>Status &amp; Semantic 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Color</w:t>
            </w:r>
          </w:p>
        </w:tc>
        <w:tc>
          <w:tcPr>
            <w:tcW w:type="dxa" w:w="2340"/>
          </w:tcPr>
          <w:p>
            <w:r>
              <w:t>Value</w:t>
            </w:r>
          </w:p>
        </w:tc>
        <w:tc>
          <w:tcPr>
            <w:tcW w:type="dxa" w:w="2340"/>
          </w:tcPr>
          <w:p>
            <w:r>
              <w:t>CSS Variable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  <w:shd w:fill="06a77d"/>
          </w:tcPr>
          <w:p>
            <w:r>
              <w:t>Success</w:t>
            </w:r>
          </w:p>
        </w:tc>
        <w:tc>
          <w:tcPr>
            <w:tcW w:type="dxa" w:w="2340"/>
          </w:tcPr>
          <w:p>
            <w:r>
              <w:t>#06a77d</w:t>
            </w:r>
          </w:p>
        </w:tc>
        <w:tc>
          <w:tcPr>
            <w:tcW w:type="dxa" w:w="2340"/>
          </w:tcPr>
          <w:p>
            <w:r>
              <w:t>--success</w:t>
            </w:r>
          </w:p>
        </w:tc>
        <w:tc>
          <w:tcPr>
            <w:tcW w:type="dxa" w:w="2340"/>
          </w:tcPr>
          <w:p>
            <w:r>
              <w:t>Success messages, checkmarks</w:t>
            </w:r>
          </w:p>
        </w:tc>
      </w:tr>
      <w:tr>
        <w:tc>
          <w:tcPr>
            <w:tcW w:type="dxa" w:w="2340"/>
            <w:shd w:fill="f5a623"/>
          </w:tcPr>
          <w:p>
            <w:r>
              <w:t>Warning</w:t>
            </w:r>
          </w:p>
        </w:tc>
        <w:tc>
          <w:tcPr>
            <w:tcW w:type="dxa" w:w="2340"/>
          </w:tcPr>
          <w:p>
            <w:r>
              <w:t>#f5a623</w:t>
            </w:r>
          </w:p>
        </w:tc>
        <w:tc>
          <w:tcPr>
            <w:tcW w:type="dxa" w:w="2340"/>
          </w:tcPr>
          <w:p>
            <w:r>
              <w:t>--warning</w:t>
            </w:r>
          </w:p>
        </w:tc>
        <w:tc>
          <w:tcPr>
            <w:tcW w:type="dxa" w:w="2340"/>
          </w:tcPr>
          <w:p>
            <w:r>
              <w:t>Warnings, cautions</w:t>
            </w:r>
          </w:p>
        </w:tc>
      </w:tr>
      <w:tr>
        <w:tc>
          <w:tcPr>
            <w:tcW w:type="dxa" w:w="2340"/>
            <w:shd w:fill="d63031"/>
          </w:tcPr>
          <w:p>
            <w:r>
              <w:t>Danger</w:t>
            </w:r>
          </w:p>
        </w:tc>
        <w:tc>
          <w:tcPr>
            <w:tcW w:type="dxa" w:w="2340"/>
          </w:tcPr>
          <w:p>
            <w:r>
              <w:t>#d63031</w:t>
            </w:r>
          </w:p>
        </w:tc>
        <w:tc>
          <w:tcPr>
            <w:tcW w:type="dxa" w:w="2340"/>
          </w:tcPr>
          <w:p>
            <w:r>
              <w:t>--danger</w:t>
            </w:r>
          </w:p>
        </w:tc>
        <w:tc>
          <w:tcPr>
            <w:tcW w:type="dxa" w:w="2340"/>
          </w:tcPr>
          <w:p>
            <w:r>
              <w:t>Errors, critical states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Style w:val="Heading2"/>
        <w:spacing w:before="240" w:after="120"/>
      </w:pPr>
      <w:r>
        <w:rPr>
          <w:color w:val="004E89"/>
        </w:rPr>
        <w:t>Neutral Colors (Dark Theme)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Color</w:t>
            </w:r>
          </w:p>
        </w:tc>
        <w:tc>
          <w:tcPr>
            <w:tcW w:type="dxa" w:w="2340"/>
          </w:tcPr>
          <w:p>
            <w:r>
              <w:t>Value</w:t>
            </w:r>
          </w:p>
        </w:tc>
        <w:tc>
          <w:tcPr>
            <w:tcW w:type="dxa" w:w="2340"/>
          </w:tcPr>
          <w:p>
            <w:r>
              <w:t>CSS Variable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  <w:shd w:fill="0f1419"/>
          </w:tcPr>
          <w:p>
            <w:r>
              <w:t>BG Dark</w:t>
            </w:r>
          </w:p>
        </w:tc>
        <w:tc>
          <w:tcPr>
            <w:tcW w:type="dxa" w:w="2340"/>
          </w:tcPr>
          <w:p>
            <w:r>
              <w:t>#0f1419</w:t>
            </w:r>
          </w:p>
        </w:tc>
        <w:tc>
          <w:tcPr>
            <w:tcW w:type="dxa" w:w="2340"/>
          </w:tcPr>
          <w:p>
            <w:r>
              <w:t>--bg-dark</w:t>
            </w:r>
          </w:p>
        </w:tc>
        <w:tc>
          <w:tcPr>
            <w:tcW w:type="dxa" w:w="2340"/>
          </w:tcPr>
          <w:p>
            <w:r>
              <w:t>Main background</w:t>
            </w:r>
          </w:p>
        </w:tc>
      </w:tr>
      <w:tr>
        <w:tc>
          <w:tcPr>
            <w:tcW w:type="dxa" w:w="2340"/>
            <w:shd w:fill="1a2332"/>
          </w:tcPr>
          <w:p>
            <w:r>
              <w:t>Surface</w:t>
            </w:r>
          </w:p>
        </w:tc>
        <w:tc>
          <w:tcPr>
            <w:tcW w:type="dxa" w:w="2340"/>
          </w:tcPr>
          <w:p>
            <w:r>
              <w:t>#1a2332</w:t>
            </w:r>
          </w:p>
        </w:tc>
        <w:tc>
          <w:tcPr>
            <w:tcW w:type="dxa" w:w="2340"/>
          </w:tcPr>
          <w:p>
            <w:r>
              <w:t>--surface</w:t>
            </w:r>
          </w:p>
        </w:tc>
        <w:tc>
          <w:tcPr>
            <w:tcW w:type="dxa" w:w="2340"/>
          </w:tcPr>
          <w:p>
            <w:r>
              <w:t>Cards, elevated surfaces</w:t>
            </w:r>
          </w:p>
        </w:tc>
      </w:tr>
      <w:tr>
        <w:tc>
          <w:tcPr>
            <w:tcW w:type="dxa" w:w="2340"/>
            <w:shd w:fill="242f3e"/>
          </w:tcPr>
          <w:p>
            <w:r>
              <w:t>Surface 2</w:t>
            </w:r>
          </w:p>
        </w:tc>
        <w:tc>
          <w:tcPr>
            <w:tcW w:type="dxa" w:w="2340"/>
          </w:tcPr>
          <w:p>
            <w:r>
              <w:t>#242f3e</w:t>
            </w:r>
          </w:p>
        </w:tc>
        <w:tc>
          <w:tcPr>
            <w:tcW w:type="dxa" w:w="2340"/>
          </w:tcPr>
          <w:p>
            <w:r>
              <w:t>--surface-2</w:t>
            </w:r>
          </w:p>
        </w:tc>
        <w:tc>
          <w:tcPr>
            <w:tcW w:type="dxa" w:w="2340"/>
          </w:tcPr>
          <w:p>
            <w:r>
              <w:t>Secondary surfaces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Style w:val="Heading2"/>
        <w:spacing w:before="240" w:after="120"/>
      </w:pPr>
      <w:r>
        <w:rPr>
          <w:color w:val="004E89"/>
        </w:rPr>
        <w:t>Text 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Color</w:t>
            </w:r>
          </w:p>
        </w:tc>
        <w:tc>
          <w:tcPr>
            <w:tcW w:type="dxa" w:w="2340"/>
          </w:tcPr>
          <w:p>
            <w:r>
              <w:t>Value</w:t>
            </w:r>
          </w:p>
        </w:tc>
        <w:tc>
          <w:tcPr>
            <w:tcW w:type="dxa" w:w="2340"/>
          </w:tcPr>
          <w:p>
            <w:r>
              <w:t>CSS Variable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  <w:shd w:fill="f5f5f5"/>
          </w:tcPr>
          <w:p>
            <w:r>
              <w:t>Primary</w:t>
            </w:r>
          </w:p>
        </w:tc>
        <w:tc>
          <w:tcPr>
            <w:tcW w:type="dxa" w:w="2340"/>
          </w:tcPr>
          <w:p>
            <w:r>
              <w:t>#f5f5f5</w:t>
            </w:r>
          </w:p>
        </w:tc>
        <w:tc>
          <w:tcPr>
            <w:tcW w:type="dxa" w:w="2340"/>
          </w:tcPr>
          <w:p>
            <w:r>
              <w:t>--text-primary</w:t>
            </w:r>
          </w:p>
        </w:tc>
        <w:tc>
          <w:tcPr>
            <w:tcW w:type="dxa" w:w="2340"/>
          </w:tcPr>
          <w:p>
            <w:r>
              <w:t>Body text, headings</w:t>
            </w:r>
          </w:p>
        </w:tc>
      </w:tr>
      <w:tr>
        <w:tc>
          <w:tcPr>
            <w:tcW w:type="dxa" w:w="2340"/>
            <w:shd w:fill="a0a0a0"/>
          </w:tcPr>
          <w:p>
            <w:r>
              <w:t>Secondary</w:t>
            </w:r>
          </w:p>
        </w:tc>
        <w:tc>
          <w:tcPr>
            <w:tcW w:type="dxa" w:w="2340"/>
          </w:tcPr>
          <w:p>
            <w:r>
              <w:t>#a0a0a0</w:t>
            </w:r>
          </w:p>
        </w:tc>
        <w:tc>
          <w:tcPr>
            <w:tcW w:type="dxa" w:w="2340"/>
          </w:tcPr>
          <w:p>
            <w:r>
              <w:t>--text-secondary</w:t>
            </w:r>
          </w:p>
        </w:tc>
        <w:tc>
          <w:tcPr>
            <w:tcW w:type="dxa" w:w="2340"/>
          </w:tcPr>
          <w:p>
            <w:r>
              <w:t>Secondary text</w:t>
            </w:r>
          </w:p>
        </w:tc>
      </w:tr>
      <w:tr>
        <w:tc>
          <w:tcPr>
            <w:tcW w:type="dxa" w:w="2340"/>
            <w:shd w:fill="707070"/>
          </w:tcPr>
          <w:p>
            <w:r>
              <w:t>Tertiary</w:t>
            </w:r>
          </w:p>
        </w:tc>
        <w:tc>
          <w:tcPr>
            <w:tcW w:type="dxa" w:w="2340"/>
          </w:tcPr>
          <w:p>
            <w:r>
              <w:t>#707070</w:t>
            </w:r>
          </w:p>
        </w:tc>
        <w:tc>
          <w:tcPr>
            <w:tcW w:type="dxa" w:w="2340"/>
          </w:tcPr>
          <w:p>
            <w:r>
              <w:t>--text-tertiary</w:t>
            </w:r>
          </w:p>
        </w:tc>
        <w:tc>
          <w:tcPr>
            <w:tcW w:type="dxa" w:w="2340"/>
          </w:tcPr>
          <w:p>
            <w:r>
              <w:t>Disabled, faint text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2. Typography System</w:t>
      </w:r>
    </w:p>
    <w:p>
      <w:pPr>
        <w:pStyle w:val="Heading2"/>
        <w:spacing w:before="240" w:after="120"/>
      </w:pPr>
      <w:r>
        <w:rPr>
          <w:color w:val="004E89"/>
        </w:rPr>
        <w:t>Font Family</w:t>
      </w:r>
    </w:p>
    <w:p>
      <w:r>
        <w:rPr>
          <w:b/>
        </w:rPr>
        <w:t xml:space="preserve">Primary Font: </w:t>
      </w:r>
      <w:r>
        <w:t>-apple-system, BlinkMacSystemFont, 'Segoe UI', Roboto, Oxygen, Ubuntu, Cantarell, sans-serif</w:t>
      </w:r>
    </w:p>
    <w:p>
      <w:pPr>
        <w:spacing w:after="120"/>
      </w:pPr>
      <w:r>
        <w:t>A modern system font stack that renders consistently across all platforms and devices.</w:t>
      </w:r>
    </w:p>
    <w:p>
      <w:pPr>
        <w:pStyle w:val="Heading2"/>
        <w:spacing w:before="240" w:after="120"/>
      </w:pPr>
      <w:r>
        <w:rPr>
          <w:color w:val="004E89"/>
        </w:rPr>
        <w:t>Font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Element</w:t>
            </w:r>
          </w:p>
        </w:tc>
        <w:tc>
          <w:tcPr>
            <w:tcW w:type="dxa" w:w="2340"/>
          </w:tcPr>
          <w:p>
            <w:r>
              <w:t>Size (px)</w:t>
            </w:r>
          </w:p>
        </w:tc>
        <w:tc>
          <w:tcPr>
            <w:tcW w:type="dxa" w:w="2340"/>
          </w:tcPr>
          <w:p>
            <w:r>
              <w:t>Line Height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c>
          <w:tcPr>
            <w:tcW w:type="dxa" w:w="2340"/>
          </w:tcPr>
          <w:p>
            <w:r>
              <w:t>H1</w:t>
            </w:r>
          </w:p>
        </w:tc>
        <w:tc>
          <w:tcPr>
            <w:tcW w:type="dxa" w:w="2340"/>
          </w:tcPr>
          <w:p>
            <w:r>
              <w:t>56px (3.5rem)</w:t>
            </w:r>
          </w:p>
        </w:tc>
        <w:tc>
          <w:tcPr>
            <w:tcW w:type="dxa" w:w="2340"/>
          </w:tcPr>
          <w:p>
            <w:r>
              <w:t>1.2</w:t>
            </w:r>
          </w:p>
        </w:tc>
        <w:tc>
          <w:tcPr>
            <w:tcW w:type="dxa" w:w="2340"/>
          </w:tcPr>
          <w:p>
            <w:r>
              <w:t>Page titles</w:t>
            </w:r>
          </w:p>
        </w:tc>
      </w:tr>
      <w:tr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40px (2.5rem)</w:t>
            </w:r>
          </w:p>
        </w:tc>
        <w:tc>
          <w:tcPr>
            <w:tcW w:type="dxa" w:w="2340"/>
          </w:tcPr>
          <w:p>
            <w:r>
              <w:t>1.2</w:t>
            </w:r>
          </w:p>
        </w:tc>
        <w:tc>
          <w:tcPr>
            <w:tcW w:type="dxa" w:w="2340"/>
          </w:tcPr>
          <w:p>
            <w:r>
              <w:t>Section headings</w:t>
            </w:r>
          </w:p>
        </w:tc>
      </w:tr>
      <w:tr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28px (1.8rem)</w:t>
            </w:r>
          </w:p>
        </w:tc>
        <w:tc>
          <w:tcPr>
            <w:tcW w:type="dxa" w:w="2340"/>
          </w:tcPr>
          <w:p>
            <w:r>
              <w:t>1.2</w:t>
            </w:r>
          </w:p>
        </w:tc>
        <w:tc>
          <w:tcPr>
            <w:tcW w:type="dxa" w:w="2340"/>
          </w:tcPr>
          <w:p>
            <w:r>
              <w:t>Subsections</w:t>
            </w:r>
          </w:p>
        </w:tc>
      </w:tr>
      <w:tr>
        <w:tc>
          <w:tcPr>
            <w:tcW w:type="dxa" w:w="2340"/>
          </w:tcPr>
          <w:p>
            <w:r>
              <w:t>H4</w:t>
            </w:r>
          </w:p>
        </w:tc>
        <w:tc>
          <w:tcPr>
            <w:tcW w:type="dxa" w:w="2340"/>
          </w:tcPr>
          <w:p>
            <w:r>
              <w:t>22px (1.4rem)</w:t>
            </w:r>
          </w:p>
        </w:tc>
        <w:tc>
          <w:tcPr>
            <w:tcW w:type="dxa" w:w="2340"/>
          </w:tcPr>
          <w:p>
            <w:r>
              <w:t>1.2</w:t>
            </w:r>
          </w:p>
        </w:tc>
        <w:tc>
          <w:tcPr>
            <w:tcW w:type="dxa" w:w="2340"/>
          </w:tcPr>
          <w:p>
            <w:r>
              <w:t>Card titles</w:t>
            </w:r>
          </w:p>
        </w:tc>
      </w:tr>
      <w:tr>
        <w:tc>
          <w:tcPr>
            <w:tcW w:type="dxa" w:w="2340"/>
          </w:tcPr>
          <w:p>
            <w:r>
              <w:t>Body</w:t>
            </w:r>
          </w:p>
        </w:tc>
        <w:tc>
          <w:tcPr>
            <w:tcW w:type="dxa" w:w="2340"/>
          </w:tcPr>
          <w:p>
            <w:r>
              <w:t>16px (1rem)</w:t>
            </w:r>
          </w:p>
        </w:tc>
        <w:tc>
          <w:tcPr>
            <w:tcW w:type="dxa" w:w="2340"/>
          </w:tcPr>
          <w:p>
            <w:r>
              <w:t>1.6</w:t>
            </w:r>
          </w:p>
        </w:tc>
        <w:tc>
          <w:tcPr>
            <w:tcW w:type="dxa" w:w="2340"/>
          </w:tcPr>
          <w:p>
            <w:r>
              <w:t>Default text</w:t>
            </w:r>
          </w:p>
        </w:tc>
      </w:tr>
      <w:tr>
        <w:tc>
          <w:tcPr>
            <w:tcW w:type="dxa" w:w="2340"/>
          </w:tcPr>
          <w:p>
            <w:r>
              <w:t>Small</w:t>
            </w:r>
          </w:p>
        </w:tc>
        <w:tc>
          <w:tcPr>
            <w:tcW w:type="dxa" w:w="2340"/>
          </w:tcPr>
          <w:p>
            <w:r>
              <w:t>14px (0.9rem)</w:t>
            </w:r>
          </w:p>
        </w:tc>
        <w:tc>
          <w:tcPr>
            <w:tcW w:type="dxa" w:w="2340"/>
          </w:tcPr>
          <w:p>
            <w:r>
              <w:t>1.4</w:t>
            </w:r>
          </w:p>
        </w:tc>
        <w:tc>
          <w:tcPr>
            <w:tcW w:type="dxa" w:w="2340"/>
          </w:tcPr>
          <w:p>
            <w:r>
              <w:t>Meta info, captions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Style w:val="Heading2"/>
        <w:spacing w:before="240" w:after="120"/>
      </w:pPr>
      <w:r>
        <w:rPr>
          <w:color w:val="004E89"/>
        </w:rPr>
        <w:t>Font Weights</w:t>
      </w:r>
    </w:p>
    <w:p>
      <w:pPr>
        <w:pStyle w:val="ListBullet"/>
      </w:pPr>
      <w:r>
        <w:rPr>
          <w:b/>
        </w:rPr>
        <w:t>Regular (400)</w:t>
      </w:r>
      <w:r>
        <w:t>: Body text, default weight</w:t>
      </w:r>
    </w:p>
    <w:p>
      <w:pPr>
        <w:pStyle w:val="ListBullet"/>
      </w:pPr>
      <w:r>
        <w:rPr>
          <w:b/>
        </w:rPr>
        <w:t>Medium (500)</w:t>
      </w:r>
      <w:r>
        <w:t>: Navigation links, secondary headings</w:t>
      </w:r>
    </w:p>
    <w:p>
      <w:pPr>
        <w:pStyle w:val="ListBullet"/>
      </w:pPr>
      <w:r>
        <w:rPr>
          <w:b/>
        </w:rPr>
        <w:t>Semibold (600)</w:t>
      </w:r>
      <w:r>
        <w:t>: Headings, bold text, strong emphasis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3. Spacing &amp; Layout</w:t>
      </w:r>
    </w:p>
    <w:p>
      <w:pPr>
        <w:pStyle w:val="Heading2"/>
        <w:spacing w:before="240" w:after="120"/>
      </w:pPr>
      <w:r>
        <w:rPr>
          <w:color w:val="004E89"/>
        </w:rPr>
        <w:t>Spacing Scale</w:t>
      </w:r>
    </w:p>
    <w:p>
      <w:pPr>
        <w:spacing w:after="120"/>
      </w:pPr>
      <w:r>
        <w:t>Use a consistent 8px base unit for all spacing. Multiples of 8 ensure perfect alignment across the design system.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Scale</w:t>
            </w:r>
          </w:p>
        </w:tc>
        <w:tc>
          <w:tcPr>
            <w:tcW w:type="dxa" w:w="2340"/>
          </w:tcPr>
          <w:p>
            <w:r>
              <w:t>Value (px)</w:t>
            </w:r>
          </w:p>
        </w:tc>
        <w:tc>
          <w:tcPr>
            <w:tcW w:type="dxa" w:w="2340"/>
          </w:tcPr>
          <w:p>
            <w:r>
              <w:t>CSS Variable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</w:tcPr>
          <w:p>
            <w:r>
              <w:t>xs</w:t>
            </w:r>
          </w:p>
        </w:tc>
        <w:tc>
          <w:tcPr>
            <w:tcW w:type="dxa" w:w="2340"/>
          </w:tcPr>
          <w:p>
            <w:r>
              <w:t>4px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Minimal gaps</w:t>
            </w:r>
          </w:p>
        </w:tc>
      </w:tr>
      <w:tr>
        <w:tc>
          <w:tcPr>
            <w:tcW w:type="dxa" w:w="2340"/>
          </w:tcPr>
          <w:p>
            <w:r>
              <w:t>sm</w:t>
            </w:r>
          </w:p>
        </w:tc>
        <w:tc>
          <w:tcPr>
            <w:tcW w:type="dxa" w:w="2340"/>
          </w:tcPr>
          <w:p>
            <w:r>
              <w:t>8px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Tight spacing</w:t>
            </w:r>
          </w:p>
        </w:tc>
      </w:tr>
      <w:tr>
        <w:tc>
          <w:tcPr>
            <w:tcW w:type="dxa" w:w="2340"/>
          </w:tcPr>
          <w:p>
            <w:r>
              <w:t>md</w:t>
            </w:r>
          </w:p>
        </w:tc>
        <w:tc>
          <w:tcPr>
            <w:tcW w:type="dxa" w:w="2340"/>
          </w:tcPr>
          <w:p>
            <w:r>
              <w:t>16px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Standard spacing</w:t>
            </w:r>
          </w:p>
        </w:tc>
      </w:tr>
      <w:tr>
        <w:tc>
          <w:tcPr>
            <w:tcW w:type="dxa" w:w="2340"/>
          </w:tcPr>
          <w:p>
            <w:r>
              <w:t>lg</w:t>
            </w:r>
          </w:p>
        </w:tc>
        <w:tc>
          <w:tcPr>
            <w:tcW w:type="dxa" w:w="2340"/>
          </w:tcPr>
          <w:p>
            <w:r>
              <w:t>24px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Section spacing</w:t>
            </w:r>
          </w:p>
        </w:tc>
      </w:tr>
      <w:tr>
        <w:tc>
          <w:tcPr>
            <w:tcW w:type="dxa" w:w="2340"/>
          </w:tcPr>
          <w:p>
            <w:r>
              <w:t>xl</w:t>
            </w:r>
          </w:p>
        </w:tc>
        <w:tc>
          <w:tcPr>
            <w:tcW w:type="dxa" w:w="2340"/>
          </w:tcPr>
          <w:p>
            <w:r>
              <w:t>32px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Major section gaps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Style w:val="Heading2"/>
        <w:spacing w:before="240" w:after="120"/>
      </w:pPr>
      <w:r>
        <w:rPr>
          <w:color w:val="004E89"/>
        </w:rPr>
        <w:t>Container &amp; Content Width</w:t>
      </w:r>
    </w:p>
    <w:p>
      <w:r>
        <w:rPr>
          <w:b/>
        </w:rPr>
        <w:t xml:space="preserve">Max Container Width: </w:t>
      </w:r>
      <w:r>
        <w:t>1200px</w:t>
      </w:r>
    </w:p>
    <w:p>
      <w:r>
        <w:rPr>
          <w:b/>
        </w:rPr>
        <w:t xml:space="preserve">Padding: </w:t>
      </w:r>
      <w:r>
        <w:t>2rem (32px) on all sides</w:t>
      </w:r>
    </w:p>
    <w:p>
      <w:pPr>
        <w:spacing w:after="120"/>
      </w:pPr>
      <w:r>
        <w:t>The main .container class constrains content to 1200px with 32px horizontal padding. This ensures readable line lengths and proper use of horizontal space on wide screens.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4. Border Radius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Scale</w:t>
            </w:r>
          </w:p>
        </w:tc>
        <w:tc>
          <w:tcPr>
            <w:tcW w:type="dxa" w:w="2340"/>
          </w:tcPr>
          <w:p>
            <w:r>
              <w:t>Value</w:t>
            </w:r>
          </w:p>
        </w:tc>
        <w:tc>
          <w:tcPr>
            <w:tcW w:type="dxa" w:w="2340"/>
          </w:tcPr>
          <w:p>
            <w:r>
              <w:t>CSS Variable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</w:tcPr>
          <w:p>
            <w:r>
              <w:t>sm</w:t>
            </w:r>
          </w:p>
        </w:tc>
        <w:tc>
          <w:tcPr>
            <w:tcW w:type="dxa" w:w="2340"/>
          </w:tcPr>
          <w:p>
            <w:r>
              <w:t>4px</w:t>
            </w:r>
          </w:p>
        </w:tc>
        <w:tc>
          <w:tcPr>
            <w:tcW w:type="dxa" w:w="2340"/>
          </w:tcPr>
          <w:p>
            <w:r>
              <w:t>--radius-sm</w:t>
            </w:r>
          </w:p>
        </w:tc>
        <w:tc>
          <w:tcPr>
            <w:tcW w:type="dxa" w:w="2340"/>
          </w:tcPr>
          <w:p>
            <w:r>
              <w:t>Tags, badges</w:t>
            </w:r>
          </w:p>
        </w:tc>
      </w:tr>
      <w:tr>
        <w:tc>
          <w:tcPr>
            <w:tcW w:type="dxa" w:w="2340"/>
          </w:tcPr>
          <w:p>
            <w:r>
              <w:t>md</w:t>
            </w:r>
          </w:p>
        </w:tc>
        <w:tc>
          <w:tcPr>
            <w:tcW w:type="dxa" w:w="2340"/>
          </w:tcPr>
          <w:p>
            <w:r>
              <w:t>8px</w:t>
            </w:r>
          </w:p>
        </w:tc>
        <w:tc>
          <w:tcPr>
            <w:tcW w:type="dxa" w:w="2340"/>
          </w:tcPr>
          <w:p>
            <w:r>
              <w:t>--radius-md</w:t>
            </w:r>
          </w:p>
        </w:tc>
        <w:tc>
          <w:tcPr>
            <w:tcW w:type="dxa" w:w="2340"/>
          </w:tcPr>
          <w:p>
            <w:r>
              <w:t>Buttons, inputs</w:t>
            </w:r>
          </w:p>
        </w:tc>
      </w:tr>
      <w:tr>
        <w:tc>
          <w:tcPr>
            <w:tcW w:type="dxa" w:w="2340"/>
          </w:tcPr>
          <w:p>
            <w:r>
              <w:t>lg</w:t>
            </w:r>
          </w:p>
        </w:tc>
        <w:tc>
          <w:tcPr>
            <w:tcW w:type="dxa" w:w="2340"/>
          </w:tcPr>
          <w:p>
            <w:r>
              <w:t>12px</w:t>
            </w:r>
          </w:p>
        </w:tc>
        <w:tc>
          <w:tcPr>
            <w:tcW w:type="dxa" w:w="2340"/>
          </w:tcPr>
          <w:p>
            <w:r>
              <w:t>--radius-lg</w:t>
            </w:r>
          </w:p>
        </w:tc>
        <w:tc>
          <w:tcPr>
            <w:tcW w:type="dxa" w:w="2340"/>
          </w:tcPr>
          <w:p>
            <w:r>
              <w:t>Cards, modals</w:t>
            </w:r>
          </w:p>
        </w:tc>
      </w:tr>
      <w:tr>
        <w:tc>
          <w:tcPr>
            <w:tcW w:type="dxa" w:w="2340"/>
          </w:tcPr>
          <w:p>
            <w:r>
              <w:t>xl</w:t>
            </w:r>
          </w:p>
        </w:tc>
        <w:tc>
          <w:tcPr>
            <w:tcW w:type="dxa" w:w="2340"/>
          </w:tcPr>
          <w:p>
            <w:r>
              <w:t>16px</w:t>
            </w:r>
          </w:p>
        </w:tc>
        <w:tc>
          <w:tcPr>
            <w:tcW w:type="dxa" w:w="2340"/>
          </w:tcPr>
          <w:p>
            <w:r>
              <w:t>--radius-xl</w:t>
            </w:r>
          </w:p>
        </w:tc>
        <w:tc>
          <w:tcPr>
            <w:tcW w:type="dxa" w:w="2340"/>
          </w:tcPr>
          <w:p>
            <w:r>
              <w:t>Large panels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5. Shadows &amp; Effects</w:t>
      </w:r>
    </w:p>
    <w:p>
      <w:pPr>
        <w:pStyle w:val="Heading2"/>
        <w:spacing w:before="240" w:after="120"/>
      </w:pPr>
      <w:r>
        <w:rPr>
          <w:color w:val="004E89"/>
        </w:rPr>
        <w:t>Shadow Elevations</w:t>
      </w:r>
    </w:p>
    <w:p>
      <w:r>
        <w:rPr>
          <w:b/>
        </w:rPr>
        <w:t xml:space="preserve">Shadow SM: </w:t>
      </w:r>
      <w:r>
        <w:t>0 2px 8px rgba(0, 0, 0, 0.2)</w:t>
      </w:r>
    </w:p>
    <w:p>
      <w:pPr>
        <w:spacing w:after="120"/>
      </w:pPr>
      <w:r>
        <w:t>Used for subtle elevation on hover states of smaller elements.</w:t>
      </w:r>
    </w:p>
    <w:p>
      <w:r>
        <w:rPr>
          <w:b/>
        </w:rPr>
        <w:t xml:space="preserve">Shadow: </w:t>
      </w:r>
      <w:r>
        <w:t>0 4px 20px rgba(0, 0, 0, 0.3)</w:t>
      </w:r>
    </w:p>
    <w:p>
      <w:pPr>
        <w:spacing w:after="120"/>
      </w:pPr>
      <w:r>
        <w:t>Used for prominent elevation on cards, modals, and hover states.</w:t>
      </w:r>
    </w:p>
    <w:p>
      <w:pPr>
        <w:pStyle w:val="Heading2"/>
        <w:spacing w:before="240" w:after="120"/>
      </w:pPr>
      <w:r>
        <w:rPr>
          <w:color w:val="004E89"/>
        </w:rPr>
        <w:t>Transitions</w:t>
      </w:r>
    </w:p>
    <w:p>
      <w:r>
        <w:rPr>
          <w:b/>
        </w:rPr>
        <w:t xml:space="preserve">Default Transition: </w:t>
      </w:r>
      <w:r>
        <w:t>all 0.3s cubic-bezier(0.4, 0, 0.2, 1)</w:t>
      </w:r>
    </w:p>
    <w:p>
      <w:pPr>
        <w:spacing w:after="120"/>
      </w:pPr>
      <w:r>
        <w:t>Used for all interactive state changes. This easing curve provides natural motion—fast initiation, smooth completion.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6. Component Patterns</w:t>
      </w:r>
    </w:p>
    <w:p>
      <w:pPr>
        <w:pStyle w:val="Heading2"/>
        <w:spacing w:before="240" w:after="120"/>
      </w:pPr>
      <w:r>
        <w:rPr>
          <w:color w:val="004E89"/>
        </w:rPr>
        <w:t>Buttons</w:t>
      </w:r>
    </w:p>
    <w:p>
      <w:pPr>
        <w:pStyle w:val="Heading3"/>
        <w:spacing w:before="240" w:after="120"/>
      </w:pPr>
      <w:r>
        <w:rPr>
          <w:color w:val="00A8CC"/>
        </w:rPr>
        <w:t>Primary Button</w:t>
      </w:r>
    </w:p>
    <w:p>
      <w:r>
        <w:rPr>
          <w:b/>
        </w:rPr>
        <w:t xml:space="preserve">Background: </w:t>
      </w:r>
      <w:r>
        <w:t>--primary (#ff6b35)</w:t>
      </w:r>
    </w:p>
    <w:p>
      <w:r>
        <w:rPr>
          <w:b/>
        </w:rPr>
        <w:t xml:space="preserve">Text: </w:t>
      </w:r>
      <w:r>
        <w:t>White</w:t>
      </w:r>
    </w:p>
    <w:p>
      <w:r>
        <w:rPr>
          <w:b/>
        </w:rPr>
        <w:t xml:space="preserve">Padding: </w:t>
      </w:r>
      <w:r>
        <w:t>1rem 2rem</w:t>
      </w:r>
    </w:p>
    <w:p>
      <w:r>
        <w:rPr>
          <w:b/>
        </w:rPr>
        <w:t xml:space="preserve">Border Radius: </w:t>
      </w:r>
      <w:r>
        <w:t>--radius-lg</w:t>
      </w:r>
    </w:p>
    <w:p>
      <w:pPr>
        <w:spacing w:after="120"/>
      </w:pPr>
      <w:r>
        <w:t>Used for primary calls-to-action. Hover state: darker background, upward transform, shadow elevation.</w:t>
      </w:r>
    </w:p>
    <w:p/>
    <w:p>
      <w:pPr>
        <w:pStyle w:val="Heading3"/>
        <w:spacing w:before="240" w:after="120"/>
      </w:pPr>
      <w:r>
        <w:rPr>
          <w:color w:val="00A8CC"/>
        </w:rPr>
        <w:t>Secondary Button</w:t>
      </w:r>
    </w:p>
    <w:p>
      <w:r>
        <w:rPr>
          <w:b/>
        </w:rPr>
        <w:t xml:space="preserve">Background: </w:t>
      </w:r>
      <w:r>
        <w:t>Transparent</w:t>
      </w:r>
    </w:p>
    <w:p>
      <w:r>
        <w:rPr>
          <w:b/>
        </w:rPr>
        <w:t xml:space="preserve">Border: </w:t>
      </w:r>
      <w:r>
        <w:t>2px solid white</w:t>
      </w:r>
    </w:p>
    <w:p>
      <w:r>
        <w:rPr>
          <w:b/>
        </w:rPr>
        <w:t xml:space="preserve">Text: </w:t>
      </w:r>
      <w:r>
        <w:t>White</w:t>
      </w:r>
    </w:p>
    <w:p>
      <w:pPr>
        <w:spacing w:after="120"/>
      </w:pPr>
      <w:r>
        <w:t>Used as secondary action on gradient backgrounds (CTA section). Hover: white background, dark text.</w:t>
      </w:r>
    </w:p>
    <w:p>
      <w:r>
        <w:br w:type="page"/>
      </w:r>
    </w:p>
    <w:p>
      <w:pPr>
        <w:pStyle w:val="Heading2"/>
        <w:spacing w:before="240" w:after="120"/>
      </w:pPr>
      <w:r>
        <w:rPr>
          <w:color w:val="004E89"/>
        </w:rPr>
        <w:t>Cards</w:t>
      </w:r>
    </w:p>
    <w:p>
      <w:pPr>
        <w:pStyle w:val="Heading3"/>
        <w:spacing w:before="240" w:after="120"/>
      </w:pPr>
      <w:r>
        <w:rPr>
          <w:color w:val="00A8CC"/>
        </w:rPr>
        <w:t>Quick Access Cards</w:t>
      </w:r>
    </w:p>
    <w:p>
      <w:r>
        <w:rPr>
          <w:b/>
        </w:rPr>
        <w:t xml:space="preserve">Background: </w:t>
      </w:r>
      <w:r>
        <w:t>Gradient overlay based on theme</w:t>
      </w:r>
    </w:p>
    <w:p>
      <w:r>
        <w:rPr>
          <w:b/>
        </w:rPr>
        <w:t xml:space="preserve">Border: </w:t>
      </w:r>
      <w:r>
        <w:t>1px solid transparent color</w:t>
      </w:r>
    </w:p>
    <w:p>
      <w:pPr>
        <w:spacing w:after="120"/>
      </w:pPr>
      <w:r>
        <w:t>Hover: Lift up (-8px), add shadow, top border animates in</w:t>
      </w:r>
    </w:p>
    <w:p>
      <w:pPr>
        <w:spacing w:after="120"/>
      </w:pPr>
      <w:r>
        <w:t>Three variants: Primary (orange/cyan), Secondary (blue/cyan), Accent (cyan/green)</w:t>
      </w:r>
    </w:p>
    <w:p/>
    <w:p>
      <w:pPr>
        <w:pStyle w:val="Heading3"/>
        <w:spacing w:before="240" w:after="120"/>
      </w:pPr>
      <w:r>
        <w:rPr>
          <w:color w:val="00A8CC"/>
        </w:rPr>
        <w:t>Guide Cards</w:t>
      </w:r>
    </w:p>
    <w:p>
      <w:r>
        <w:rPr>
          <w:b/>
        </w:rPr>
        <w:t xml:space="preserve">Background: </w:t>
      </w:r>
      <w:r>
        <w:t>--surface</w:t>
      </w:r>
    </w:p>
    <w:p>
      <w:r>
        <w:rPr>
          <w:b/>
        </w:rPr>
        <w:t xml:space="preserve">Border: </w:t>
      </w:r>
      <w:r>
        <w:t>1px solid --border</w:t>
      </w:r>
    </w:p>
    <w:p>
      <w:pPr>
        <w:spacing w:after="120"/>
      </w:pPr>
      <w:r>
        <w:t>Hover: Border changes to --primary, lift up, add shadow</w:t>
      </w:r>
    </w:p>
    <w:p>
      <w:pPr>
        <w:spacing w:after="120"/>
      </w:pPr>
      <w:r>
        <w:t>Contains: tag, title, description, meta (tags + read time), read more link</w:t>
      </w:r>
    </w:p>
    <w:p/>
    <w:p>
      <w:pPr>
        <w:pStyle w:val="Heading2"/>
        <w:spacing w:before="240" w:after="120"/>
      </w:pPr>
      <w:r>
        <w:rPr>
          <w:color w:val="004E89"/>
        </w:rPr>
        <w:t>Badges &amp; Tags</w:t>
      </w:r>
    </w:p>
    <w:p>
      <w:pPr>
        <w:pStyle w:val="Heading3"/>
        <w:spacing w:before="240" w:after="120"/>
      </w:pPr>
      <w:r>
        <w:rPr>
          <w:color w:val="00A8CC"/>
        </w:rPr>
        <w:t>Card Tag</w:t>
      </w:r>
    </w:p>
    <w:p>
      <w:r>
        <w:rPr>
          <w:b/>
        </w:rPr>
        <w:t xml:space="preserve">Background: </w:t>
      </w:r>
      <w:r>
        <w:t>--primary</w:t>
      </w:r>
    </w:p>
    <w:p>
      <w:r>
        <w:rPr>
          <w:b/>
        </w:rPr>
        <w:t xml:space="preserve">Text: </w:t>
      </w:r>
      <w:r>
        <w:t>White</w:t>
      </w:r>
    </w:p>
    <w:p>
      <w:r>
        <w:rPr>
          <w:b/>
        </w:rPr>
        <w:t xml:space="preserve">Position: </w:t>
      </w:r>
      <w:r>
        <w:t>Top-right absolute, 1rem offset</w:t>
      </w:r>
    </w:p>
    <w:p>
      <w:pPr>
        <w:spacing w:after="120"/>
      </w:pPr>
      <w:r>
        <w:t>Uppercase, small font</w:t>
      </w:r>
    </w:p>
    <w:p/>
    <w:p>
      <w:pPr>
        <w:pStyle w:val="Heading3"/>
        <w:spacing w:before="240" w:after="120"/>
      </w:pPr>
      <w:r>
        <w:rPr>
          <w:color w:val="00A8CC"/>
        </w:rPr>
        <w:t>Feature Badge</w:t>
      </w:r>
    </w:p>
    <w:p>
      <w:r>
        <w:rPr>
          <w:b/>
        </w:rPr>
        <w:t xml:space="preserve">Background: </w:t>
      </w:r>
      <w:r>
        <w:t>rgba(--accent, 0.1)</w:t>
      </w:r>
    </w:p>
    <w:p>
      <w:r>
        <w:rPr>
          <w:b/>
        </w:rPr>
        <w:t xml:space="preserve">Border: </w:t>
      </w:r>
      <w:r>
        <w:t>1px solid --accent</w:t>
      </w:r>
    </w:p>
    <w:p>
      <w:r>
        <w:rPr>
          <w:b/>
        </w:rPr>
        <w:t xml:space="preserve">Text: </w:t>
      </w:r>
      <w:r>
        <w:t>--accent</w:t>
      </w:r>
    </w:p>
    <w:p>
      <w:pPr>
        <w:spacing w:after="120"/>
      </w:pPr>
      <w:r>
        <w:t>Used in hero section for feature highlights</w:t>
      </w:r>
    </w:p>
    <w:p/>
    <w:p>
      <w:pPr>
        <w:pStyle w:val="Heading3"/>
        <w:spacing w:before="240" w:after="120"/>
      </w:pPr>
      <w:r>
        <w:rPr>
          <w:color w:val="00A8CC"/>
        </w:rPr>
        <w:t>Inline Tag</w:t>
      </w:r>
    </w:p>
    <w:p>
      <w:r>
        <w:rPr>
          <w:b/>
        </w:rPr>
        <w:t xml:space="preserve">Background: </w:t>
      </w:r>
      <w:r>
        <w:t>rgba(--accent, 0.1)</w:t>
      </w:r>
    </w:p>
    <w:p>
      <w:r>
        <w:rPr>
          <w:b/>
        </w:rPr>
        <w:t xml:space="preserve">Text: </w:t>
      </w:r>
      <w:r>
        <w:t>--accent</w:t>
      </w:r>
    </w:p>
    <w:p>
      <w:pPr>
        <w:spacing w:after="120"/>
      </w:pPr>
      <w:r>
        <w:t>Used for category tags in card metadata</w:t>
      </w:r>
    </w:p>
    <w:p/>
    <w:p>
      <w:pPr>
        <w:pStyle w:val="Heading2"/>
        <w:spacing w:before="240" w:after="120"/>
      </w:pPr>
      <w:r>
        <w:rPr>
          <w:color w:val="004E89"/>
        </w:rPr>
        <w:t>Inputs</w:t>
      </w:r>
    </w:p>
    <w:p>
      <w:pPr>
        <w:pStyle w:val="Heading3"/>
        <w:spacing w:before="240" w:after="120"/>
      </w:pPr>
      <w:r>
        <w:rPr>
          <w:color w:val="00A8CC"/>
        </w:rPr>
        <w:t>Search Input</w:t>
      </w:r>
    </w:p>
    <w:p>
      <w:r>
        <w:rPr>
          <w:b/>
        </w:rPr>
        <w:t xml:space="preserve">Background: </w:t>
      </w:r>
      <w:r>
        <w:t>--surface-2</w:t>
      </w:r>
    </w:p>
    <w:p>
      <w:r>
        <w:rPr>
          <w:b/>
        </w:rPr>
        <w:t xml:space="preserve">Border: </w:t>
      </w:r>
      <w:r>
        <w:t>1px solid --border</w:t>
      </w:r>
    </w:p>
    <w:p>
      <w:pPr>
        <w:spacing w:after="120"/>
      </w:pPr>
      <w:r>
        <w:t>Focus: Border changes to --primary, adds inner glow (0 0 0 3px rgba(--primary, 0.1))</w:t>
      </w:r>
    </w:p>
    <w:p>
      <w:r>
        <w:rPr>
          <w:b/>
        </w:rPr>
        <w:t xml:space="preserve">Padding: </w:t>
      </w:r>
      <w:r>
        <w:t>1rem 1.5rem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7. Interactive States</w:t>
      </w:r>
    </w:p>
    <w:p>
      <w:pPr>
        <w:pStyle w:val="Heading2"/>
        <w:spacing w:before="240" w:after="120"/>
      </w:pPr>
      <w:r>
        <w:rPr>
          <w:color w:val="004E89"/>
        </w:rPr>
        <w:t>Hover Effects</w:t>
      </w:r>
    </w:p>
    <w:p>
      <w:pPr>
        <w:pStyle w:val="ListBullet"/>
      </w:pPr>
      <w:r>
        <w:t>Cards: Lift up (-8px), add shadow</w:t>
      </w:r>
    </w:p>
    <w:p>
      <w:pPr>
        <w:pStyle w:val="ListBullet"/>
      </w:pPr>
      <w:r>
        <w:t>Buttons: Darker background, lift up (-4px), shadow</w:t>
      </w:r>
    </w:p>
    <w:p>
      <w:pPr>
        <w:pStyle w:val="ListBullet"/>
      </w:pPr>
      <w:r>
        <w:t>Links: Color change, optional transform</w:t>
      </w:r>
    </w:p>
    <w:p>
      <w:pPr>
        <w:pStyle w:val="ListBullet"/>
      </w:pPr>
      <w:r>
        <w:t>Navigation: Underline animates in</w:t>
      </w:r>
    </w:p>
    <w:p>
      <w:pPr>
        <w:pStyle w:val="Heading2"/>
        <w:spacing w:before="240" w:after="120"/>
      </w:pPr>
      <w:r>
        <w:rPr>
          <w:color w:val="004E89"/>
        </w:rPr>
        <w:t>Active States</w:t>
      </w:r>
    </w:p>
    <w:p>
      <w:pPr>
        <w:pStyle w:val="ListBullet"/>
      </w:pPr>
      <w:r>
        <w:t>Tab buttons: Border and text change to --primary, background tint</w:t>
      </w:r>
    </w:p>
    <w:p>
      <w:pPr>
        <w:pStyle w:val="ListBullet"/>
      </w:pPr>
      <w:r>
        <w:t>Navigation links: Bold, full underline</w:t>
      </w:r>
    </w:p>
    <w:p>
      <w:pPr>
        <w:pStyle w:val="Heading2"/>
        <w:spacing w:before="240" w:after="120"/>
      </w:pPr>
      <w:r>
        <w:rPr>
          <w:color w:val="004E89"/>
        </w:rPr>
        <w:t>Focus States</w:t>
      </w:r>
    </w:p>
    <w:p>
      <w:pPr>
        <w:spacing w:after="120"/>
      </w:pPr>
      <w:r>
        <w:t>Inputs: 3px colored outline, border color change to primary color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8. Responsive Design</w:t>
      </w:r>
    </w:p>
    <w:p>
      <w:pPr>
        <w:pStyle w:val="Heading2"/>
        <w:spacing w:before="240" w:after="120"/>
      </w:pPr>
      <w:r>
        <w:rPr>
          <w:color w:val="004E89"/>
        </w:rPr>
        <w:t>Breakpoints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Breakpoint</w:t>
            </w:r>
          </w:p>
        </w:tc>
        <w:tc>
          <w:tcPr>
            <w:tcW w:type="dxa" w:w="3120"/>
          </w:tcPr>
          <w:p>
            <w:r>
              <w:t>Width</w:t>
            </w:r>
          </w:p>
        </w:tc>
        <w:tc>
          <w:tcPr>
            <w:tcW w:type="dxa" w:w="3120"/>
          </w:tcPr>
          <w:p>
            <w:r>
              <w:t>Device</w:t>
            </w:r>
          </w:p>
        </w:tc>
      </w:tr>
      <w:tr>
        <w:tc>
          <w:tcPr>
            <w:tcW w:type="dxa" w:w="3120"/>
          </w:tcPr>
          <w:p>
            <w:r>
              <w:t>Tablet</w:t>
            </w:r>
          </w:p>
        </w:tc>
        <w:tc>
          <w:tcPr>
            <w:tcW w:type="dxa" w:w="3120"/>
          </w:tcPr>
          <w:p>
            <w:r>
              <w:t>768px and below</w:t>
            </w:r>
          </w:p>
        </w:tc>
        <w:tc>
          <w:tcPr>
            <w:tcW w:type="dxa" w:w="3120"/>
          </w:tcPr>
          <w:p>
            <w:r>
              <w:t>Tablets, large phones</w:t>
            </w:r>
          </w:p>
        </w:tc>
      </w:tr>
      <w:tr>
        <w:tc>
          <w:tcPr>
            <w:tcW w:type="dxa" w:w="3120"/>
          </w:tcPr>
          <w:p>
            <w:r>
              <w:t>Mobile</w:t>
            </w:r>
          </w:p>
        </w:tc>
        <w:tc>
          <w:tcPr>
            <w:tcW w:type="dxa" w:w="3120"/>
          </w:tcPr>
          <w:p>
            <w:r>
              <w:t>480px and below</w:t>
            </w:r>
          </w:p>
        </w:tc>
        <w:tc>
          <w:tcPr>
            <w:tcW w:type="dxa" w:w="3120"/>
          </w:tcPr>
          <w:p>
            <w:r>
              <w:t>Phones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/>
    <w:p>
      <w:pPr>
        <w:pStyle w:val="Heading2"/>
        <w:spacing w:before="240" w:after="120"/>
      </w:pPr>
      <w:r>
        <w:rPr>
          <w:color w:val="004E89"/>
        </w:rPr>
        <w:t>Typography Scaling</w:t>
      </w:r>
    </w:p>
    <w:p>
      <w:pPr>
        <w:spacing w:after="120"/>
      </w:pPr>
      <w:r>
        <w:t>At 768px: Reduce H1 to 2.5rem, H2 to 1.8rem, H3 to 1.4rem</w:t>
      </w:r>
    </w:p>
    <w:p>
      <w:pPr>
        <w:spacing w:after="120"/>
      </w:pPr>
      <w:r>
        <w:t>At 480px: Further reduce to 2rem, 1.8rem, 1.4rem respectively</w:t>
      </w:r>
    </w:p>
    <w:p>
      <w:pPr>
        <w:pStyle w:val="Heading2"/>
        <w:spacing w:before="240" w:after="120"/>
      </w:pPr>
      <w:r>
        <w:rPr>
          <w:color w:val="004E89"/>
        </w:rPr>
        <w:t>Grid Adjustments</w:t>
      </w:r>
    </w:p>
    <w:p>
      <w:pPr>
        <w:pStyle w:val="ListBullet"/>
      </w:pPr>
      <w:r>
        <w:t>768px: Convert 3-column layouts to 2 columns</w:t>
      </w:r>
    </w:p>
    <w:p>
      <w:pPr>
        <w:pStyle w:val="ListBullet"/>
      </w:pPr>
      <w:r>
        <w:t>768px: Stack navigation menu vertically</w:t>
      </w:r>
    </w:p>
    <w:p>
      <w:pPr>
        <w:pStyle w:val="ListBullet"/>
      </w:pPr>
      <w:r>
        <w:t>480px: Convert all grids to single column</w:t>
      </w:r>
    </w:p>
    <w:p>
      <w:pPr>
        <w:pStyle w:val="ListBullet"/>
      </w:pPr>
      <w:r>
        <w:t>480px: Stack community section content vertically</w:t>
      </w:r>
    </w:p>
    <w:p>
      <w:pPr>
        <w:pStyle w:val="Heading2"/>
        <w:spacing w:before="240" w:after="120"/>
      </w:pPr>
      <w:r>
        <w:rPr>
          <w:color w:val="004E89"/>
        </w:rPr>
        <w:t>Mobile Considerations</w:t>
      </w:r>
    </w:p>
    <w:p>
      <w:pPr>
        <w:pStyle w:val="ListBullet"/>
      </w:pPr>
      <w:r>
        <w:t>Container padding reduces to 1rem at 480px</w:t>
      </w:r>
    </w:p>
    <w:p>
      <w:pPr>
        <w:pStyle w:val="ListBullet"/>
      </w:pPr>
      <w:r>
        <w:t>Hero section: Reduce height, hide background effects</w:t>
      </w:r>
    </w:p>
    <w:p>
      <w:pPr>
        <w:pStyle w:val="ListBullet"/>
      </w:pPr>
      <w:r>
        <w:t>Search input: Stack vertically</w:t>
      </w:r>
    </w:p>
    <w:p>
      <w:pPr>
        <w:pStyle w:val="ListBullet"/>
      </w:pPr>
      <w:r>
        <w:t>CTA buttons: Full width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9. Animations</w:t>
      </w:r>
    </w:p>
    <w:p>
      <w:pPr>
        <w:pStyle w:val="Heading2"/>
        <w:spacing w:before="240" w:after="120"/>
      </w:pPr>
      <w:r>
        <w:rPr>
          <w:color w:val="004E89"/>
        </w:rPr>
        <w:t>Float Animation</w:t>
      </w:r>
    </w:p>
    <w:p>
      <w:pPr>
        <w:spacing w:after="120"/>
      </w:pPr>
      <w:r>
        <w:t>Used on hero background elements. Gentle vertical floating motion over 6 seconds. Creates sense of depth and movement.</w:t>
      </w:r>
    </w:p>
    <w:p>
      <w:pPr>
        <w:pStyle w:val="Heading2"/>
        <w:spacing w:before="240" w:after="120"/>
      </w:pPr>
      <w:r>
        <w:rPr>
          <w:color w:val="004E89"/>
        </w:rPr>
        <w:t>Slide In Animation</w:t>
      </w:r>
    </w:p>
    <w:p>
      <w:pPr>
        <w:spacing w:after="120"/>
      </w:pPr>
      <w:r>
        <w:t>0.6s ease-out. Fades in while sliding up 30px. Used for cards and elements entering view.</w:t>
      </w:r>
    </w:p>
    <w:p>
      <w:pPr>
        <w:pStyle w:val="Heading2"/>
        <w:spacing w:before="240" w:after="120"/>
      </w:pPr>
      <w:r>
        <w:rPr>
          <w:color w:val="004E89"/>
        </w:rPr>
        <w:t>Transition Curve</w:t>
      </w:r>
    </w:p>
    <w:p>
      <w:pPr>
        <w:spacing w:after="120"/>
      </w:pPr>
      <w:r>
        <w:t>cubic-bezier(0.4, 0, 0.2, 1): Material Design standard easing. Fast start, smooth deceleration.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10. Implementation Guidelines</w:t>
      </w:r>
    </w:p>
    <w:p>
      <w:pPr>
        <w:pStyle w:val="Heading2"/>
        <w:spacing w:before="240" w:after="120"/>
      </w:pPr>
      <w:r>
        <w:rPr>
          <w:color w:val="004E89"/>
        </w:rPr>
        <w:t>CSS Variables Best Practices</w:t>
      </w:r>
    </w:p>
    <w:p>
      <w:pPr>
        <w:pStyle w:val="ListBullet"/>
      </w:pPr>
      <w:r>
        <w:t>Always use CSS variables. Never hardcode hex values.</w:t>
      </w:r>
    </w:p>
    <w:p>
      <w:pPr>
        <w:pStyle w:val="ListBullet"/>
      </w:pPr>
      <w:r>
        <w:t>Define all colors in :root. Centralize all design tokens.</w:t>
      </w:r>
    </w:p>
    <w:p>
      <w:pPr>
        <w:pStyle w:val="ListBullet"/>
      </w:pPr>
      <w:r>
        <w:t>For theme overrides, use additional :root selectors or data attributes.</w:t>
      </w:r>
    </w:p>
    <w:p>
      <w:pPr>
        <w:pStyle w:val="Heading2"/>
        <w:spacing w:before="240" w:after="120"/>
      </w:pPr>
      <w:r>
        <w:rPr>
          <w:color w:val="004E89"/>
        </w:rPr>
        <w:t>Component Naming</w:t>
      </w:r>
    </w:p>
    <w:p>
      <w:pPr>
        <w:spacing w:after="120"/>
      </w:pPr>
      <w:r>
        <w:t>Use descriptive class names that reflect structure: .card, .card-tag, .card-meta, etc.</w:t>
      </w:r>
    </w:p>
    <w:p>
      <w:pPr>
        <w:spacing w:after="120"/>
      </w:pPr>
      <w:r>
        <w:t>Variants use modifiers: .card-primary, .btn-secondary</w:t>
      </w:r>
    </w:p>
    <w:p>
      <w:pPr>
        <w:spacing w:after="120"/>
      </w:pPr>
      <w:r>
        <w:t>States use pseudo-classes: :hover, :active, :focus</w:t>
      </w:r>
    </w:p>
    <w:p>
      <w:pPr>
        <w:pStyle w:val="Heading2"/>
        <w:spacing w:before="240" w:after="120"/>
      </w:pPr>
      <w:r>
        <w:rPr>
          <w:color w:val="004E89"/>
        </w:rPr>
        <w:t>Performance</w:t>
      </w:r>
    </w:p>
    <w:p>
      <w:pPr>
        <w:pStyle w:val="ListBullet"/>
      </w:pPr>
      <w:r>
        <w:t>Use `transform` and `opacity` for animations (GPU-accelerated)</w:t>
      </w:r>
    </w:p>
    <w:p>
      <w:pPr>
        <w:pStyle w:val="ListBullet"/>
      </w:pPr>
      <w:r>
        <w:t>Prefer transitions over animations for state changes</w:t>
      </w:r>
    </w:p>
    <w:p>
      <w:pPr>
        <w:pStyle w:val="ListBullet"/>
      </w:pPr>
      <w:r>
        <w:t>Limit shadow use on mobile devices</w:t>
      </w:r>
    </w:p>
    <w:p>
      <w:pPr>
        <w:pStyle w:val="Heading2"/>
        <w:spacing w:before="240" w:after="120"/>
      </w:pPr>
      <w:r>
        <w:rPr>
          <w:color w:val="004E89"/>
        </w:rPr>
        <w:t>Accessibility</w:t>
      </w:r>
    </w:p>
    <w:p>
      <w:pPr>
        <w:pStyle w:val="ListBullet"/>
      </w:pPr>
      <w:r>
        <w:t>Ensure color contrast meets WCAG AA standards</w:t>
      </w:r>
    </w:p>
    <w:p>
      <w:pPr>
        <w:pStyle w:val="ListBullet"/>
      </w:pPr>
      <w:r>
        <w:t>Always include focus states for interactive elements</w:t>
      </w:r>
    </w:p>
    <w:p>
      <w:pPr>
        <w:pStyle w:val="ListBullet"/>
      </w:pPr>
      <w:r>
        <w:t>Reduce animations for users with `prefers-reduced-motion`</w:t>
      </w:r>
    </w:p>
    <w:p>
      <w:pPr>
        <w:pStyle w:val="ListBullet"/>
      </w:pPr>
      <w:r>
        <w:t>Use semantic HTML and ARIA labels where needed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FF6B35"/>
        </w:rPr>
        <w:t>Quick Reference</w:t>
      </w:r>
    </w:p>
    <w:p>
      <w:pPr>
        <w:spacing w:after="120"/>
      </w:pPr>
      <w:r>
        <w:t>This style guide is your single source of truth for ISRM's design system. Reference these tokens and patterns when building new pages, components, or features.</w:t>
      </w:r>
    </w:p>
    <w:p/>
    <w:p>
      <w:pPr>
        <w:spacing w:after="120"/>
      </w:pPr>
      <w:r>
        <w:t>Key files:</w:t>
      </w:r>
    </w:p>
    <w:p>
      <w:pPr>
        <w:pStyle w:val="ListBullet"/>
      </w:pPr>
      <w:r>
        <w:t>styles.css: All design tokens and component styles</w:t>
      </w:r>
    </w:p>
    <w:p>
      <w:pPr>
        <w:pStyle w:val="ListBullet"/>
      </w:pPr>
      <w:r>
        <w:t>index.html: Component examples and structure</w:t>
      </w:r>
    </w:p>
    <w:p>
      <w:pPr>
        <w:pStyle w:val="ListBullet"/>
      </w:pPr>
      <w:r>
        <w:t>script.js: Interactive behaviors</w:t>
      </w:r>
    </w:p>
    <w:p/>
    <w:p>
      <w:r>
        <w:rPr>
          <w:i/>
          <w:color w:val="A0A0A0"/>
        </w:rPr>
        <w:t>Version 1.0 • Last Updated: May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