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43CC2" w:rsidP="00443CC2">
      <w:pPr>
        <w:pStyle w:val="a3"/>
      </w:pPr>
      <w:r>
        <w:rPr>
          <w:rFonts w:hint="eastAsia"/>
        </w:rPr>
        <w:t>梯度和方向导数</w:t>
      </w:r>
    </w:p>
    <w:p w:rsidR="00443CC2" w:rsidRDefault="00443CC2" w:rsidP="00443CC2">
      <w:pPr>
        <w:pStyle w:val="1"/>
      </w:pPr>
      <w:r>
        <w:rPr>
          <w:rFonts w:hint="eastAsia"/>
        </w:rPr>
        <w:t>梯度</w:t>
      </w:r>
    </w:p>
    <w:p w:rsidR="00443CC2" w:rsidRDefault="00443CC2" w:rsidP="00443CC2">
      <w:pPr>
        <w:pStyle w:val="2"/>
      </w:pPr>
      <w:r>
        <w:rPr>
          <w:rFonts w:hint="eastAsia"/>
        </w:rPr>
        <w:t>理解</w:t>
      </w:r>
    </w:p>
    <w:p w:rsidR="00443CC2" w:rsidRDefault="00443CC2" w:rsidP="00443CC2">
      <w:pPr>
        <w:pStyle w:val="af8"/>
        <w:numPr>
          <w:ilvl w:val="0"/>
          <w:numId w:val="5"/>
        </w:numPr>
        <w:ind w:firstLineChars="0"/>
      </w:pPr>
      <w:r w:rsidRPr="00443CC2">
        <w:rPr>
          <w:rFonts w:hint="eastAsia"/>
          <w:color w:val="ED7D31" w:themeColor="accent2"/>
        </w:rPr>
        <w:t>梯度</w:t>
      </w:r>
      <w:r>
        <w:rPr>
          <w:rFonts w:hint="eastAsia"/>
        </w:rPr>
        <w:t>是</w:t>
      </w:r>
      <w:r w:rsidRPr="00443CC2">
        <w:rPr>
          <w:rStyle w:val="a5"/>
          <w:rFonts w:hint="eastAsia"/>
        </w:rPr>
        <w:t>等值线的法向量</w:t>
      </w:r>
    </w:p>
    <w:p w:rsidR="006D3984" w:rsidRDefault="00443CC2" w:rsidP="006D3984">
      <w:pPr>
        <w:pStyle w:val="af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等值线的法向量</w:t>
      </w:r>
      <w:r w:rsidRPr="00443CC2">
        <w:rPr>
          <w:rStyle w:val="a5"/>
        </w:rPr>
        <w:t>不一定</w:t>
      </w:r>
      <w:r>
        <w:rPr>
          <w:rFonts w:hint="eastAsia"/>
        </w:rPr>
        <w:t>是</w:t>
      </w:r>
      <w:r w:rsidRPr="00443CC2">
        <w:rPr>
          <w:rFonts w:hint="eastAsia"/>
          <w:color w:val="ED7D31" w:themeColor="accent2"/>
        </w:rPr>
        <w:t>梯度</w:t>
      </w:r>
    </w:p>
    <w:p w:rsidR="006D3984" w:rsidRDefault="006D3984" w:rsidP="006D3984">
      <w:pPr>
        <w:pStyle w:val="1"/>
      </w:pPr>
      <w:r>
        <w:rPr>
          <w:rFonts w:hint="eastAsia"/>
        </w:rPr>
        <w:t>方向导数</w:t>
      </w:r>
    </w:p>
    <w:p w:rsidR="00F459C1" w:rsidRDefault="00F459C1" w:rsidP="00F459C1">
      <w:pPr>
        <w:pStyle w:val="2"/>
      </w:pPr>
      <w:r>
        <w:rPr>
          <w:rFonts w:hint="eastAsia"/>
        </w:rPr>
        <w:t>定义</w:t>
      </w:r>
    </w:p>
    <w:p w:rsidR="00F459C1" w:rsidRDefault="00F459C1" w:rsidP="00F459C1"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 xml:space="preserve"> 的某邻域内有定义，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为自点发出的射线，</w:t>
      </w:r>
    </w:p>
    <w:p w:rsidR="00F459C1" w:rsidRPr="00F459C1" w:rsidRDefault="00F459C1" w:rsidP="00F459C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+ρcosα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y=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+ρcosβ</m:t>
                  </m:r>
                </m:e>
              </m:eqArr>
            </m:e>
          </m:d>
        </m:oMath>
      </m:oMathPara>
    </w:p>
    <w:p w:rsidR="00F459C1" w:rsidRDefault="00F459C1" w:rsidP="00F459C1">
      <w:r>
        <w:rPr>
          <w:rFonts w:hint="eastAsia"/>
        </w:rPr>
        <w:t>则函数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沿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方向的方向导数定义为</w:t>
      </w:r>
    </w:p>
    <w:p w:rsidR="00F459C1" w:rsidRPr="00F459C1" w:rsidRDefault="00F459C1" w:rsidP="00F459C1">
      <m:oMathPara>
        <m:oMath>
          <m:f>
            <m:fPr>
              <m:ctrlPr>
                <w:rPr>
                  <w:rFonts w:ascii="Cambria Math" w:hAnsi="Cambria Math"/>
                  <w:color w:val="5B9BD5" w:themeColor="accen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  <w:sz w:val="28"/>
                </w:rPr>
                <m:t>∂f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8"/>
                </w:rPr>
                <m:t>∂l</m:t>
              </m:r>
            </m:den>
          </m:f>
          <m:d>
            <m:dPr>
              <m:ctrlPr>
                <w:rPr>
                  <w:rFonts w:ascii="Cambria Math" w:hAnsi="Cambria Math"/>
                  <w:color w:val="5B9BD5" w:themeColor="accen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5B9BD5" w:themeColor="accen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5B9BD5" w:themeColor="accent1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5B9BD5" w:themeColor="accen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color w:val="5B9BD5" w:themeColor="accent1"/>
                  <w:sz w:val="28"/>
                </w:rPr>
              </m:ctrlPr>
            </m:e>
          </m:d>
          <m:r>
            <w:rPr>
              <w:rFonts w:ascii="Cambria Math" w:hAnsi="Cambria Math"/>
              <w:color w:val="5B9BD5" w:themeColor="accent1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5B9BD5" w:themeColor="accent1"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B9BD5" w:themeColor="accent1"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B9BD5" w:themeColor="accent1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ρ→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5B9BD5" w:themeColor="accent1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ρcosα</m:t>
                      </m:r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5B9BD5" w:themeColor="accent1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ρcosβ</m:t>
                      </m:r>
                    </m:e>
                  </m:d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ρ</m:t>
                  </m:r>
                </m:den>
              </m:f>
            </m:e>
          </m:func>
        </m:oMath>
      </m:oMathPara>
    </w:p>
    <w:p w:rsidR="00F459C1" w:rsidRPr="00F459C1" w:rsidRDefault="00F459C1" w:rsidP="00F459C1">
      <w:pPr>
        <w:rPr>
          <w:rFonts w:hint="eastAsia"/>
        </w:rPr>
      </w:pPr>
      <w:r>
        <w:rPr>
          <w:rFonts w:hint="eastAsia"/>
        </w:rPr>
        <w:t>也可记作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 xml:space="preserve"> </w:t>
      </w:r>
    </w:p>
    <w:p w:rsidR="006D3984" w:rsidRDefault="006D3984" w:rsidP="006D3984">
      <w:pPr>
        <w:pStyle w:val="2"/>
      </w:pPr>
      <w:r>
        <w:rPr>
          <w:rFonts w:hint="eastAsia"/>
        </w:rPr>
        <w:t>理解</w:t>
      </w:r>
    </w:p>
    <w:p w:rsidR="006D3984" w:rsidRPr="00C07B9A" w:rsidRDefault="006D3984" w:rsidP="006D3984">
      <w:pPr>
        <w:pStyle w:val="af8"/>
        <w:numPr>
          <w:ilvl w:val="0"/>
          <w:numId w:val="6"/>
        </w:numPr>
        <w:ind w:firstLineChars="0"/>
      </w:pPr>
      <w:r w:rsidRPr="006D3984">
        <w:rPr>
          <w:rFonts w:hint="eastAsia"/>
          <w:color w:val="ED7D31" w:themeColor="accent2"/>
        </w:rPr>
        <w:t>方向导数</w:t>
      </w:r>
      <w:r>
        <w:rPr>
          <w:rFonts w:hint="eastAsia"/>
        </w:rPr>
        <w:t>是函数</w:t>
      </w:r>
      <w:r w:rsidRPr="00B00ADD">
        <w:rPr>
          <w:rStyle w:val="a5"/>
          <w:rFonts w:hint="eastAsia"/>
        </w:rPr>
        <w:t>沿指定方向</w:t>
      </w:r>
      <w:r>
        <w:rPr>
          <w:rFonts w:hint="eastAsia"/>
        </w:rPr>
        <w:t>的</w:t>
      </w:r>
      <w:r w:rsidRPr="006D3984">
        <w:rPr>
          <w:rFonts w:hint="eastAsia"/>
          <w:color w:val="00B0F0"/>
        </w:rPr>
        <w:t>变化率</w:t>
      </w:r>
    </w:p>
    <w:p w:rsidR="00C07B9A" w:rsidRPr="00C07B9A" w:rsidRDefault="00C07B9A" w:rsidP="006D3984">
      <w:pPr>
        <w:pStyle w:val="af8"/>
        <w:numPr>
          <w:ilvl w:val="0"/>
          <w:numId w:val="6"/>
        </w:numPr>
        <w:ind w:firstLineChars="0"/>
        <w:rPr>
          <w:sz w:val="21"/>
        </w:rPr>
      </w:pPr>
      <m:oMath>
        <m:r>
          <w:rPr>
            <w:rFonts w:ascii="Cambria Math" w:hAnsi="Cambria Math"/>
            <w:color w:val="ED7D31" w:themeColor="accent2"/>
            <w:sz w:val="24"/>
          </w:rPr>
          <m:t>ρ→</m:t>
        </m:r>
        <m:sSup>
          <m:sSupPr>
            <m:ctrlPr>
              <w:rPr>
                <w:rFonts w:ascii="Cambria Math" w:hAnsi="Cambria Math"/>
                <w:i/>
                <w:color w:val="ED7D31" w:themeColor="accent2"/>
                <w:sz w:val="24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  <w:sz w:val="24"/>
              </w:rPr>
              <m:t>0</m:t>
            </m:r>
          </m:e>
          <m:sup>
            <m:r>
              <w:rPr>
                <w:rFonts w:ascii="Cambria Math" w:hAnsi="Cambria Math"/>
                <w:color w:val="ED7D31" w:themeColor="accent2"/>
                <w:sz w:val="24"/>
              </w:rPr>
              <m:t>+</m:t>
            </m:r>
          </m:sup>
        </m:sSup>
      </m:oMath>
      <w:r>
        <w:rPr>
          <w:rFonts w:hint="eastAsia"/>
          <w:color w:val="ED7D31" w:themeColor="accent2"/>
          <w:sz w:val="24"/>
        </w:rPr>
        <w:t xml:space="preserve"> </w:t>
      </w:r>
      <w:r>
        <w:rPr>
          <w:rFonts w:hint="eastAsia"/>
          <w:sz w:val="21"/>
        </w:rPr>
        <w:t>的解释： 函数在点</w:t>
      </w:r>
      <m:oMath>
        <m:r>
          <m:rPr>
            <m:sty m:val="p"/>
          </m:rPr>
          <w:rPr>
            <w:rFonts w:ascii="Cambria Math" w:hAnsi="Cambria Math"/>
            <w:sz w:val="21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 xml:space="preserve"> 处</w:t>
      </w:r>
      <w:r w:rsidR="00344DDE">
        <w:rPr>
          <w:rFonts w:hint="eastAsia"/>
        </w:rPr>
        <w:t>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cosα,cosβ</m:t>
            </m:r>
          </m:e>
        </m:d>
      </m:oMath>
      <w:r w:rsidR="00344DDE">
        <w:rPr>
          <w:rFonts w:hint="eastAsia"/>
        </w:rPr>
        <w:t xml:space="preserve"> </w:t>
      </w:r>
      <w:r>
        <w:rPr>
          <w:rFonts w:hint="eastAsia"/>
        </w:rPr>
        <w:t>的正向变化率</w:t>
      </w:r>
      <w:bookmarkStart w:id="0" w:name="_GoBack"/>
      <w:bookmarkEnd w:id="0"/>
    </w:p>
    <w:p w:rsidR="008935A8" w:rsidRPr="006D3984" w:rsidRDefault="00C07B9A" w:rsidP="006D3984">
      <w:pPr>
        <w:pStyle w:val="af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方向导数的几何意义是：</w:t>
      </w:r>
    </w:p>
    <w:sectPr w:rsidR="008935A8" w:rsidRPr="006D3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D1" w:rsidRDefault="004954D1" w:rsidP="00443CC2">
      <w:pPr>
        <w:spacing w:after="0" w:line="240" w:lineRule="auto"/>
      </w:pPr>
      <w:r>
        <w:separator/>
      </w:r>
    </w:p>
  </w:endnote>
  <w:endnote w:type="continuationSeparator" w:id="0">
    <w:p w:rsidR="004954D1" w:rsidRDefault="004954D1" w:rsidP="0044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6EE4717-6F92-4BD8-940D-F3494445915C}"/>
    <w:embedBold r:id="rId2" w:subsetted="1" w:fontKey="{85A6ED6B-C8F8-4DAB-BC41-671B50C7088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D8D013AF-50FE-4193-B14F-0E67FF9F751B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6DEC64FC-A70C-4D1D-A0AE-511B3BCE196F}"/>
    <w:embedItalic r:id="rId5" w:subsetted="1" w:fontKey="{A1A99C68-B4F1-4647-A382-1FD25E28E974}"/>
    <w:embedBoldItalic r:id="rId6" w:subsetted="1" w:fontKey="{403C857A-DCC0-4E08-BD9C-B98D2C93B2A5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D1" w:rsidRDefault="004954D1" w:rsidP="00443CC2">
      <w:pPr>
        <w:spacing w:after="0" w:line="240" w:lineRule="auto"/>
      </w:pPr>
      <w:r>
        <w:separator/>
      </w:r>
    </w:p>
  </w:footnote>
  <w:footnote w:type="continuationSeparator" w:id="0">
    <w:p w:rsidR="004954D1" w:rsidRDefault="004954D1" w:rsidP="00443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5CF"/>
    <w:multiLevelType w:val="hybridMultilevel"/>
    <w:tmpl w:val="8228C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32354"/>
    <w:multiLevelType w:val="hybridMultilevel"/>
    <w:tmpl w:val="05EC6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A1923"/>
    <w:multiLevelType w:val="hybridMultilevel"/>
    <w:tmpl w:val="2BF49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521738"/>
    <w:multiLevelType w:val="hybridMultilevel"/>
    <w:tmpl w:val="2A8EF4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5F5CC0"/>
    <w:multiLevelType w:val="hybridMultilevel"/>
    <w:tmpl w:val="0C160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D532E7"/>
    <w:multiLevelType w:val="hybridMultilevel"/>
    <w:tmpl w:val="EAEE6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88"/>
    <w:rsid w:val="000A54AD"/>
    <w:rsid w:val="002E2EF4"/>
    <w:rsid w:val="00344DDE"/>
    <w:rsid w:val="00371FFD"/>
    <w:rsid w:val="00443CC2"/>
    <w:rsid w:val="004954D1"/>
    <w:rsid w:val="006965EB"/>
    <w:rsid w:val="006D3984"/>
    <w:rsid w:val="00723588"/>
    <w:rsid w:val="00842BBC"/>
    <w:rsid w:val="008935A8"/>
    <w:rsid w:val="00A84D28"/>
    <w:rsid w:val="00B00ADD"/>
    <w:rsid w:val="00B3554D"/>
    <w:rsid w:val="00B7407E"/>
    <w:rsid w:val="00B90086"/>
    <w:rsid w:val="00C07B9A"/>
    <w:rsid w:val="00C70FD1"/>
    <w:rsid w:val="00D76B3A"/>
    <w:rsid w:val="00ED7A4E"/>
    <w:rsid w:val="00F459C1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6F914"/>
  <w15:chartTrackingRefBased/>
  <w15:docId w15:val="{CAD27961-15D1-4E6A-BD0A-78065650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CC2"/>
  </w:style>
  <w:style w:type="paragraph" w:styleId="1">
    <w:name w:val="heading 1"/>
    <w:basedOn w:val="a"/>
    <w:next w:val="a"/>
    <w:link w:val="10"/>
    <w:uiPriority w:val="9"/>
    <w:qFormat/>
    <w:rsid w:val="00443C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43CC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C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C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C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C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C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3C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43CC2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B00ADD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3175" w14:cap="rnd" w14:cmpd="sng" w14:algn="ctr">
        <w14:solidFill>
          <w14:srgbClr w14:val="00B0F0"/>
        </w14:solidFill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44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3C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3C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3C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3CC2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43CC2"/>
    <w:rPr>
      <w:rFonts w:asciiTheme="majorHAnsi" w:eastAsiaTheme="majorEastAsia" w:hAnsiTheme="majorHAnsi" w:cstheme="majorBidi"/>
      <w:color w:val="00B0F0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3CC2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43CC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3CC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43CC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43CC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43CC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43CC2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443C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443CC2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443CC2"/>
    <w:rPr>
      <w:b/>
      <w:bCs/>
      <w:color w:val="FF0000"/>
      <w:u w:color="FF0000"/>
    </w:rPr>
  </w:style>
  <w:style w:type="paragraph" w:styleId="ae">
    <w:name w:val="No Spacing"/>
    <w:uiPriority w:val="1"/>
    <w:qFormat/>
    <w:rsid w:val="00443CC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43CC2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443CC2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443CC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443CC2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443CC2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43CC2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443CC2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443CC2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443CC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43CC2"/>
    <w:pPr>
      <w:outlineLvl w:val="9"/>
    </w:pPr>
  </w:style>
  <w:style w:type="paragraph" w:styleId="af8">
    <w:name w:val="List Paragraph"/>
    <w:basedOn w:val="a"/>
    <w:uiPriority w:val="34"/>
    <w:qFormat/>
    <w:rsid w:val="00443CC2"/>
    <w:pPr>
      <w:ind w:firstLineChars="200" w:firstLine="420"/>
    </w:pPr>
  </w:style>
  <w:style w:type="character" w:styleId="af9">
    <w:name w:val="Placeholder Text"/>
    <w:basedOn w:val="a0"/>
    <w:uiPriority w:val="99"/>
    <w:semiHidden/>
    <w:rsid w:val="00F45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2018-05-02T15:45:00Z</dcterms:created>
  <dcterms:modified xsi:type="dcterms:W3CDTF">2018-05-02T16:09:00Z</dcterms:modified>
</cp:coreProperties>
</file>