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663A" w14:textId="672FD3FC" w:rsidR="002E5491" w:rsidRPr="002E5491" w:rsidRDefault="00BF593B" w:rsidP="005F50E7">
      <w:pPr>
        <w:pStyle w:val="Heading1"/>
        <w:jc w:val="both"/>
      </w:pPr>
      <w:r>
        <w:t xml:space="preserve">CERN </w:t>
      </w:r>
      <w:r w:rsidR="00413E74">
        <w:t>Trip Outcomes</w:t>
      </w:r>
    </w:p>
    <w:p w14:paraId="0B4AE05A" w14:textId="5F895167" w:rsidR="00BF593B" w:rsidRDefault="00413E74" w:rsidP="005F50E7">
      <w:pPr>
        <w:jc w:val="both"/>
        <w:rPr>
          <w:sz w:val="22"/>
          <w:szCs w:val="22"/>
        </w:rPr>
      </w:pPr>
      <w:r w:rsidRPr="006207BF">
        <w:rPr>
          <w:sz w:val="22"/>
          <w:szCs w:val="22"/>
        </w:rPr>
        <w:t xml:space="preserve">The primary purpose of visiting the EP-CMX group at CERN was to characterize the scintillation properties of the </w:t>
      </w:r>
      <w:proofErr w:type="spellStart"/>
      <w:r w:rsidRPr="006207BF">
        <w:rPr>
          <w:sz w:val="22"/>
          <w:szCs w:val="22"/>
        </w:rPr>
        <w:t>CdS</w:t>
      </w:r>
      <w:proofErr w:type="spellEnd"/>
      <w:r w:rsidRPr="006207BF">
        <w:rPr>
          <w:sz w:val="22"/>
          <w:szCs w:val="22"/>
        </w:rPr>
        <w:t xml:space="preserve"> nanocrystal embedded epoxy resin samples prepared at UCT</w:t>
      </w:r>
      <w:r w:rsidR="002E5491" w:rsidRPr="006207BF">
        <w:rPr>
          <w:sz w:val="22"/>
          <w:szCs w:val="22"/>
        </w:rPr>
        <w:t xml:space="preserve">, with the aim of identifying the optimal percentage mass concentration of </w:t>
      </w:r>
      <w:proofErr w:type="spellStart"/>
      <w:r w:rsidR="002E5491" w:rsidRPr="006207BF">
        <w:rPr>
          <w:sz w:val="22"/>
          <w:szCs w:val="22"/>
        </w:rPr>
        <w:t>CdS</w:t>
      </w:r>
      <w:proofErr w:type="spellEnd"/>
      <w:r w:rsidR="002E5491" w:rsidRPr="006207BF">
        <w:rPr>
          <w:sz w:val="22"/>
          <w:szCs w:val="22"/>
        </w:rPr>
        <w:t>.</w:t>
      </w:r>
      <w:r w:rsidRPr="006207BF">
        <w:rPr>
          <w:sz w:val="22"/>
          <w:szCs w:val="22"/>
        </w:rPr>
        <w:t xml:space="preserve"> This involved measuring the transmittance, emission and excitation spectra in the UV-visible range, </w:t>
      </w:r>
      <w:r w:rsidR="005C33BE" w:rsidRPr="006207BF">
        <w:rPr>
          <w:sz w:val="22"/>
          <w:szCs w:val="22"/>
        </w:rPr>
        <w:t xml:space="preserve">decay time resolutions </w:t>
      </w:r>
      <w:r w:rsidRPr="006207BF">
        <w:rPr>
          <w:sz w:val="22"/>
          <w:szCs w:val="22"/>
        </w:rPr>
        <w:t>time-correlated single photon counting</w:t>
      </w:r>
      <w:r w:rsidR="005C33BE" w:rsidRPr="006207BF">
        <w:rPr>
          <w:sz w:val="22"/>
          <w:szCs w:val="22"/>
        </w:rPr>
        <w:t xml:space="preserve"> (TCSPC)</w:t>
      </w:r>
      <w:r w:rsidRPr="006207BF">
        <w:rPr>
          <w:sz w:val="22"/>
          <w:szCs w:val="22"/>
        </w:rPr>
        <w:t xml:space="preserve"> and </w:t>
      </w:r>
      <w:r w:rsidR="005C33BE" w:rsidRPr="006207BF">
        <w:rPr>
          <w:sz w:val="22"/>
          <w:szCs w:val="22"/>
        </w:rPr>
        <w:t>decay</w:t>
      </w:r>
      <w:r w:rsidRPr="006207BF">
        <w:rPr>
          <w:sz w:val="22"/>
          <w:szCs w:val="22"/>
        </w:rPr>
        <w:t xml:space="preserve"> time resolution</w:t>
      </w:r>
      <w:r w:rsidR="005C33BE" w:rsidRPr="006207BF">
        <w:rPr>
          <w:sz w:val="22"/>
          <w:szCs w:val="22"/>
        </w:rPr>
        <w:t xml:space="preserve"> (DTR)</w:t>
      </w:r>
      <w:r w:rsidRPr="006207BF">
        <w:rPr>
          <w:sz w:val="22"/>
          <w:szCs w:val="22"/>
        </w:rPr>
        <w:t xml:space="preserve"> measurements under pulsed soft X-ray excitation; and </w:t>
      </w:r>
      <w:r w:rsidR="002E5491" w:rsidRPr="006207BF">
        <w:rPr>
          <w:sz w:val="22"/>
          <w:szCs w:val="22"/>
        </w:rPr>
        <w:t>coincidence time resolution</w:t>
      </w:r>
      <w:r w:rsidR="005C33BE" w:rsidRPr="006207BF">
        <w:rPr>
          <w:sz w:val="22"/>
          <w:szCs w:val="22"/>
        </w:rPr>
        <w:t xml:space="preserve"> (CTR)</w:t>
      </w:r>
      <w:r w:rsidR="002E5491" w:rsidRPr="006207BF">
        <w:rPr>
          <w:sz w:val="22"/>
          <w:szCs w:val="22"/>
        </w:rPr>
        <w:t xml:space="preserve"> when exposed to a source of back-to-back 511keV gamma radiation. </w:t>
      </w:r>
    </w:p>
    <w:p w14:paraId="330D96AC" w14:textId="77777777" w:rsidR="00364B3D" w:rsidRDefault="00364B3D" w:rsidP="00364B3D">
      <w:pPr>
        <w:keepNext/>
        <w:jc w:val="both"/>
      </w:pPr>
      <w:r>
        <w:rPr>
          <w:noProof/>
        </w:rPr>
        <w:drawing>
          <wp:inline distT="0" distB="0" distL="0" distR="0" wp14:anchorId="3B0AEAAC" wp14:editId="4083114A">
            <wp:extent cx="3213800" cy="2906486"/>
            <wp:effectExtent l="0" t="0" r="5715" b="8255"/>
            <wp:docPr id="58049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19558" cy="2911693"/>
                    </a:xfrm>
                    <a:prstGeom prst="rect">
                      <a:avLst/>
                    </a:prstGeom>
                    <a:noFill/>
                    <a:ln>
                      <a:noFill/>
                    </a:ln>
                  </pic:spPr>
                </pic:pic>
              </a:graphicData>
            </a:graphic>
          </wp:inline>
        </w:drawing>
      </w:r>
    </w:p>
    <w:p w14:paraId="2B5A1CAD" w14:textId="70A32B8F" w:rsidR="00364B3D" w:rsidRDefault="00364B3D" w:rsidP="00364B3D">
      <w:pPr>
        <w:pStyle w:val="Caption"/>
        <w:jc w:val="both"/>
        <w:rPr>
          <w:noProof/>
        </w:rPr>
      </w:pPr>
      <w:r>
        <w:t xml:space="preserve">Figure </w:t>
      </w:r>
      <w:fldSimple w:instr=" SEQ Figure \* ARABIC ">
        <w:r w:rsidR="00C95391">
          <w:rPr>
            <w:noProof/>
          </w:rPr>
          <w:t>1</w:t>
        </w:r>
      </w:fldSimple>
      <w:r>
        <w:t xml:space="preserve">: a) </w:t>
      </w:r>
      <w:proofErr w:type="spellStart"/>
      <w:r>
        <w:t>CdS</w:t>
      </w:r>
      <w:proofErr w:type="spellEnd"/>
      <w:r>
        <w:t xml:space="preserve"> epoxy resin samples with %</w:t>
      </w:r>
      <w:proofErr w:type="spellStart"/>
      <w:r>
        <w:t>CdS</w:t>
      </w:r>
      <w:proofErr w:type="spellEnd"/>
      <w:r>
        <w:t xml:space="preserve"> increasing from 0.05 - 0.6 from left to right. Transmittance (b) and emission (c) spectra for increasing </w:t>
      </w:r>
      <w:proofErr w:type="spellStart"/>
      <w:r>
        <w:t>CdS</w:t>
      </w:r>
      <w:proofErr w:type="spellEnd"/>
      <w:r>
        <w:t xml:space="preserve"> concentration samples. d) Sample excitation at 310 nm.</w:t>
      </w:r>
    </w:p>
    <w:p w14:paraId="117A5716" w14:textId="10980D4A" w:rsidR="0039707D" w:rsidRDefault="003E3771" w:rsidP="00BE73D6">
      <w:pPr>
        <w:jc w:val="both"/>
        <w:rPr>
          <w:noProof/>
        </w:rPr>
      </w:pPr>
      <w:r w:rsidRPr="006207BF">
        <w:rPr>
          <w:sz w:val="22"/>
          <w:szCs w:val="22"/>
        </w:rPr>
        <w:t xml:space="preserve">A substantial increase in opacity with increasing </w:t>
      </w:r>
      <w:proofErr w:type="spellStart"/>
      <w:r w:rsidRPr="006207BF">
        <w:rPr>
          <w:sz w:val="22"/>
          <w:szCs w:val="22"/>
        </w:rPr>
        <w:t>CdS</w:t>
      </w:r>
      <w:proofErr w:type="spellEnd"/>
      <w:r w:rsidRPr="006207BF">
        <w:rPr>
          <w:sz w:val="22"/>
          <w:szCs w:val="22"/>
        </w:rPr>
        <w:t xml:space="preserve"> concentration was observed in the transmittance measurements in Figure 1</w:t>
      </w:r>
      <w:r w:rsidR="00364B3D">
        <w:rPr>
          <w:sz w:val="22"/>
          <w:szCs w:val="22"/>
        </w:rPr>
        <w:t>.</w:t>
      </w:r>
      <w:r w:rsidR="00A16990">
        <w:rPr>
          <w:sz w:val="22"/>
          <w:szCs w:val="22"/>
        </w:rPr>
        <w:t>b</w:t>
      </w:r>
      <w:r w:rsidRPr="006207BF">
        <w:rPr>
          <w:sz w:val="22"/>
          <w:szCs w:val="22"/>
        </w:rPr>
        <w:t xml:space="preserve">, which led to broad peaks in the emission and excitation spectra. Encouragingly, strong peaks at 420 nm were observed in the emission spectra under 310 nm excitation for </w:t>
      </w:r>
      <w:proofErr w:type="spellStart"/>
      <w:r w:rsidRPr="006207BF">
        <w:rPr>
          <w:sz w:val="22"/>
          <w:szCs w:val="22"/>
        </w:rPr>
        <w:t>CdS</w:t>
      </w:r>
      <w:proofErr w:type="spellEnd"/>
      <w:r w:rsidRPr="006207BF">
        <w:rPr>
          <w:sz w:val="22"/>
          <w:szCs w:val="22"/>
        </w:rPr>
        <w:t xml:space="preserve"> concentration</w:t>
      </w:r>
      <w:r w:rsidR="00A16990">
        <w:rPr>
          <w:sz w:val="22"/>
          <w:szCs w:val="22"/>
        </w:rPr>
        <w:t xml:space="preserve">s </w:t>
      </w:r>
      <w:r w:rsidRPr="006207BF">
        <w:rPr>
          <w:sz w:val="22"/>
          <w:szCs w:val="22"/>
        </w:rPr>
        <w:t>0.05% - 0.20%</w:t>
      </w:r>
      <w:r w:rsidR="00A16990">
        <w:rPr>
          <w:sz w:val="22"/>
          <w:szCs w:val="22"/>
        </w:rPr>
        <w:t xml:space="preserve"> (see Figure 1.c</w:t>
      </w:r>
      <w:r w:rsidRPr="006207BF">
        <w:rPr>
          <w:sz w:val="22"/>
          <w:szCs w:val="22"/>
        </w:rPr>
        <w:t xml:space="preserve">). This is precisely the wavelength required to optimize the scintillation signal of the silicon photomultiplier. Unfortunately, increasing the concentration further resulted in excess secondary scattering and red shift in the emission peak. This made it impossible to discern a coherent signal in the decay time measurements as they rely </w:t>
      </w:r>
      <w:r w:rsidRPr="006207BF">
        <w:rPr>
          <w:sz w:val="22"/>
          <w:szCs w:val="22"/>
        </w:rPr>
        <w:t>on high transmittance. However, TCSPC</w:t>
      </w:r>
      <w:r w:rsidR="005C33BE" w:rsidRPr="006207BF">
        <w:rPr>
          <w:sz w:val="22"/>
          <w:szCs w:val="22"/>
        </w:rPr>
        <w:t xml:space="preserve"> characterisation was more successful as it can be performed in reflection mode. A novel machine learning algorithm was developed to determine the decay times of multiple scintillation components using particle swarm</w:t>
      </w:r>
      <w:r w:rsidR="006223ED">
        <w:rPr>
          <w:sz w:val="22"/>
          <w:szCs w:val="22"/>
        </w:rPr>
        <w:t xml:space="preserve"> </w:t>
      </w:r>
      <w:r w:rsidR="005C33BE" w:rsidRPr="006207BF">
        <w:rPr>
          <w:sz w:val="22"/>
          <w:szCs w:val="22"/>
        </w:rPr>
        <w:t>hyperparameter</w:t>
      </w:r>
      <w:r w:rsidR="001C5A4A">
        <w:rPr>
          <w:sz w:val="22"/>
          <w:szCs w:val="22"/>
        </w:rPr>
        <w:t xml:space="preserve"> optimization (PSHO)</w:t>
      </w:r>
      <w:r w:rsidR="005C33BE" w:rsidRPr="006207BF">
        <w:rPr>
          <w:sz w:val="22"/>
          <w:szCs w:val="22"/>
        </w:rPr>
        <w:t xml:space="preserve">, with promisingly fast effective decay time constants &lt; 5ns for all </w:t>
      </w:r>
      <w:proofErr w:type="spellStart"/>
      <w:r w:rsidR="005C33BE" w:rsidRPr="006207BF">
        <w:rPr>
          <w:sz w:val="22"/>
          <w:szCs w:val="22"/>
        </w:rPr>
        <w:t>CdS</w:t>
      </w:r>
      <w:proofErr w:type="spellEnd"/>
      <w:r w:rsidR="005C33BE" w:rsidRPr="006207BF">
        <w:rPr>
          <w:sz w:val="22"/>
          <w:szCs w:val="22"/>
        </w:rPr>
        <w:t xml:space="preserve"> samples</w:t>
      </w:r>
      <w:r w:rsidR="00BE73D6">
        <w:rPr>
          <w:sz w:val="22"/>
          <w:szCs w:val="22"/>
        </w:rPr>
        <w:t xml:space="preserve"> (see Figure</w:t>
      </w:r>
      <w:r w:rsidR="006223ED">
        <w:rPr>
          <w:sz w:val="22"/>
          <w:szCs w:val="22"/>
        </w:rPr>
        <w:t xml:space="preserve"> 2)</w:t>
      </w:r>
      <w:r w:rsidR="005C33BE" w:rsidRPr="006207BF">
        <w:rPr>
          <w:sz w:val="22"/>
          <w:szCs w:val="22"/>
        </w:rPr>
        <w:t xml:space="preserve">. </w:t>
      </w:r>
      <w:r w:rsidR="005131FE" w:rsidRPr="005131FE">
        <w:rPr>
          <w:noProof/>
        </w:rPr>
        <w:t xml:space="preserve"> </w:t>
      </w:r>
    </w:p>
    <w:p w14:paraId="4670A807" w14:textId="77777777" w:rsidR="006223ED" w:rsidRDefault="005131FE" w:rsidP="006223ED">
      <w:pPr>
        <w:keepNext/>
        <w:jc w:val="both"/>
      </w:pPr>
      <w:r w:rsidRPr="005131FE">
        <w:rPr>
          <w:rFonts w:ascii="Arial Narrow" w:hAnsi="Arial Narrow" w:cs="Arial Narrow"/>
          <w:noProof/>
          <w:sz w:val="22"/>
          <w:szCs w:val="22"/>
          <w:lang w:val="en-GB"/>
        </w:rPr>
        <w:drawing>
          <wp:inline distT="0" distB="0" distL="0" distR="0" wp14:anchorId="5968C68A" wp14:editId="6B2FACC0">
            <wp:extent cx="3129643" cy="2974651"/>
            <wp:effectExtent l="0" t="0" r="0" b="0"/>
            <wp:docPr id="122702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2012" name=""/>
                    <pic:cNvPicPr/>
                  </pic:nvPicPr>
                  <pic:blipFill>
                    <a:blip r:embed="rId5"/>
                    <a:stretch>
                      <a:fillRect/>
                    </a:stretch>
                  </pic:blipFill>
                  <pic:spPr>
                    <a:xfrm>
                      <a:off x="0" y="0"/>
                      <a:ext cx="3159107" cy="3002656"/>
                    </a:xfrm>
                    <a:prstGeom prst="rect">
                      <a:avLst/>
                    </a:prstGeom>
                  </pic:spPr>
                </pic:pic>
              </a:graphicData>
            </a:graphic>
          </wp:inline>
        </w:drawing>
      </w:r>
    </w:p>
    <w:p w14:paraId="634B0988" w14:textId="5932D8BA" w:rsidR="003E3771" w:rsidRDefault="006223ED" w:rsidP="006223ED">
      <w:pPr>
        <w:pStyle w:val="Caption"/>
        <w:jc w:val="both"/>
        <w:rPr>
          <w:rFonts w:ascii="Arial Narrow" w:hAnsi="Arial Narrow" w:cs="Arial Narrow"/>
          <w:sz w:val="22"/>
          <w:szCs w:val="22"/>
          <w:lang w:val="en-GB"/>
        </w:rPr>
      </w:pPr>
      <w:r>
        <w:t xml:space="preserve">Figure </w:t>
      </w:r>
      <w:fldSimple w:instr=" SEQ Figure \* ARABIC ">
        <w:r w:rsidR="00C95391">
          <w:rPr>
            <w:noProof/>
          </w:rPr>
          <w:t>2</w:t>
        </w:r>
      </w:fldSimple>
      <w:r>
        <w:t xml:space="preserve">: Decay time resolution </w:t>
      </w:r>
      <w:r w:rsidR="00C91FCC">
        <w:t xml:space="preserve">&lt; 5 ns, </w:t>
      </w:r>
      <w:r>
        <w:t>fit using PS</w:t>
      </w:r>
      <w:r w:rsidR="001C5A4A">
        <w:t>HO</w:t>
      </w:r>
      <w:r>
        <w:t>.</w:t>
      </w:r>
    </w:p>
    <w:p w14:paraId="77525D96" w14:textId="765E980D" w:rsidR="006223ED" w:rsidRDefault="006223ED" w:rsidP="005F50E7">
      <w:pPr>
        <w:jc w:val="both"/>
        <w:rPr>
          <w:rFonts w:ascii="Arial Narrow" w:hAnsi="Arial Narrow" w:cs="Arial Narrow"/>
          <w:sz w:val="22"/>
          <w:szCs w:val="22"/>
          <w:lang w:val="en-GB"/>
        </w:rPr>
      </w:pPr>
      <w:r w:rsidRPr="006207BF">
        <w:rPr>
          <w:sz w:val="22"/>
          <w:szCs w:val="22"/>
        </w:rPr>
        <w:t xml:space="preserve">Due to a lack of discernible scintillation response to the 511keV gamma rays using the </w:t>
      </w:r>
      <w:proofErr w:type="spellStart"/>
      <w:r w:rsidRPr="006207BF">
        <w:rPr>
          <w:sz w:val="22"/>
          <w:szCs w:val="22"/>
        </w:rPr>
        <w:t>CdS</w:t>
      </w:r>
      <w:proofErr w:type="spellEnd"/>
      <w:r w:rsidRPr="006207BF">
        <w:rPr>
          <w:sz w:val="22"/>
          <w:szCs w:val="22"/>
        </w:rPr>
        <w:t xml:space="preserve"> samples, CTR measurements were instead performed using industry standard LYSO crystal samples</w:t>
      </w:r>
      <w:r w:rsidR="007F23FF">
        <w:rPr>
          <w:sz w:val="22"/>
          <w:szCs w:val="22"/>
        </w:rPr>
        <w:t xml:space="preserve"> (see Figure 3), which will function as a vital </w:t>
      </w:r>
      <w:r w:rsidRPr="006207BF">
        <w:rPr>
          <w:sz w:val="22"/>
          <w:szCs w:val="22"/>
        </w:rPr>
        <w:t xml:space="preserve">calibration </w:t>
      </w:r>
      <w:r w:rsidR="007F23FF">
        <w:rPr>
          <w:sz w:val="22"/>
          <w:szCs w:val="22"/>
        </w:rPr>
        <w:t>standard for</w:t>
      </w:r>
      <w:r w:rsidRPr="006207BF">
        <w:rPr>
          <w:sz w:val="22"/>
          <w:szCs w:val="22"/>
        </w:rPr>
        <w:t xml:space="preserve"> the new CTR bench being set up at UCT.</w:t>
      </w:r>
    </w:p>
    <w:p w14:paraId="16C9F1A2" w14:textId="77777777" w:rsidR="00C95391" w:rsidRDefault="00C95391" w:rsidP="00C95391">
      <w:pPr>
        <w:keepNext/>
        <w:jc w:val="both"/>
      </w:pPr>
      <w:r w:rsidRPr="00C95391">
        <w:rPr>
          <w:rFonts w:ascii="Arial Narrow" w:hAnsi="Arial Narrow" w:cs="Arial Narrow"/>
          <w:noProof/>
          <w:sz w:val="22"/>
          <w:szCs w:val="22"/>
          <w:lang w:val="en-GB"/>
        </w:rPr>
        <w:drawing>
          <wp:inline distT="0" distB="0" distL="0" distR="0" wp14:anchorId="18954A10" wp14:editId="46F924FE">
            <wp:extent cx="3098165" cy="2258060"/>
            <wp:effectExtent l="0" t="0" r="6985" b="8890"/>
            <wp:docPr id="1774746742"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46742" name="Picture 1" descr="A graph of a normal distribution&#10;&#10;AI-generated content may be incorrect."/>
                    <pic:cNvPicPr/>
                  </pic:nvPicPr>
                  <pic:blipFill>
                    <a:blip r:embed="rId6"/>
                    <a:stretch>
                      <a:fillRect/>
                    </a:stretch>
                  </pic:blipFill>
                  <pic:spPr>
                    <a:xfrm>
                      <a:off x="0" y="0"/>
                      <a:ext cx="3098165" cy="2258060"/>
                    </a:xfrm>
                    <a:prstGeom prst="rect">
                      <a:avLst/>
                    </a:prstGeom>
                  </pic:spPr>
                </pic:pic>
              </a:graphicData>
            </a:graphic>
          </wp:inline>
        </w:drawing>
      </w:r>
    </w:p>
    <w:p w14:paraId="0AF4FBCF" w14:textId="4199B35F" w:rsidR="002E5491" w:rsidRPr="003E3771" w:rsidRDefault="00C95391" w:rsidP="00C95391">
      <w:pPr>
        <w:pStyle w:val="Caption"/>
        <w:jc w:val="both"/>
        <w:rPr>
          <w:rFonts w:ascii="Arial Narrow" w:hAnsi="Arial Narrow" w:cs="Arial Narrow"/>
          <w:sz w:val="22"/>
          <w:szCs w:val="22"/>
          <w:lang w:val="en-GB"/>
        </w:rPr>
      </w:pPr>
      <w:r>
        <w:t xml:space="preserve">Figure </w:t>
      </w:r>
      <w:fldSimple w:instr=" SEQ Figure \* ARABIC ">
        <w:r>
          <w:rPr>
            <w:noProof/>
          </w:rPr>
          <w:t>3</w:t>
        </w:r>
      </w:fldSimple>
      <w:r>
        <w:t>: CTR of LYSO for calibration of new UCT bench.</w:t>
      </w:r>
    </w:p>
    <w:sectPr w:rsidR="002E5491" w:rsidRPr="003E3771" w:rsidSect="00364B3D">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79"/>
    <w:rsid w:val="00124533"/>
    <w:rsid w:val="001C5A4A"/>
    <w:rsid w:val="002B5F5E"/>
    <w:rsid w:val="002E5491"/>
    <w:rsid w:val="00364B3D"/>
    <w:rsid w:val="0039707D"/>
    <w:rsid w:val="003E3771"/>
    <w:rsid w:val="003E4221"/>
    <w:rsid w:val="00413E74"/>
    <w:rsid w:val="00501FEA"/>
    <w:rsid w:val="005131FE"/>
    <w:rsid w:val="005C33BE"/>
    <w:rsid w:val="005F50E7"/>
    <w:rsid w:val="006207BF"/>
    <w:rsid w:val="006223ED"/>
    <w:rsid w:val="007F23FF"/>
    <w:rsid w:val="00A16990"/>
    <w:rsid w:val="00BE73D6"/>
    <w:rsid w:val="00BF593B"/>
    <w:rsid w:val="00C91FCC"/>
    <w:rsid w:val="00C95391"/>
    <w:rsid w:val="00E73728"/>
    <w:rsid w:val="00F047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550B"/>
  <w15:chartTrackingRefBased/>
  <w15:docId w15:val="{459E2DE9-0FD6-45D5-9648-4299C2F3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779"/>
    <w:rPr>
      <w:rFonts w:eastAsiaTheme="majorEastAsia" w:cstheme="majorBidi"/>
      <w:color w:val="272727" w:themeColor="text1" w:themeTint="D8"/>
    </w:rPr>
  </w:style>
  <w:style w:type="paragraph" w:styleId="Title">
    <w:name w:val="Title"/>
    <w:basedOn w:val="Normal"/>
    <w:next w:val="Normal"/>
    <w:link w:val="TitleChar"/>
    <w:uiPriority w:val="10"/>
    <w:qFormat/>
    <w:rsid w:val="00F04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779"/>
    <w:pPr>
      <w:spacing w:before="160"/>
      <w:jc w:val="center"/>
    </w:pPr>
    <w:rPr>
      <w:i/>
      <w:iCs/>
      <w:color w:val="404040" w:themeColor="text1" w:themeTint="BF"/>
    </w:rPr>
  </w:style>
  <w:style w:type="character" w:customStyle="1" w:styleId="QuoteChar">
    <w:name w:val="Quote Char"/>
    <w:basedOn w:val="DefaultParagraphFont"/>
    <w:link w:val="Quote"/>
    <w:uiPriority w:val="29"/>
    <w:rsid w:val="00F04779"/>
    <w:rPr>
      <w:i/>
      <w:iCs/>
      <w:color w:val="404040" w:themeColor="text1" w:themeTint="BF"/>
    </w:rPr>
  </w:style>
  <w:style w:type="paragraph" w:styleId="ListParagraph">
    <w:name w:val="List Paragraph"/>
    <w:basedOn w:val="Normal"/>
    <w:uiPriority w:val="34"/>
    <w:qFormat/>
    <w:rsid w:val="00F04779"/>
    <w:pPr>
      <w:ind w:left="720"/>
      <w:contextualSpacing/>
    </w:pPr>
  </w:style>
  <w:style w:type="character" w:styleId="IntenseEmphasis">
    <w:name w:val="Intense Emphasis"/>
    <w:basedOn w:val="DefaultParagraphFont"/>
    <w:uiPriority w:val="21"/>
    <w:qFormat/>
    <w:rsid w:val="00F04779"/>
    <w:rPr>
      <w:i/>
      <w:iCs/>
      <w:color w:val="0F4761" w:themeColor="accent1" w:themeShade="BF"/>
    </w:rPr>
  </w:style>
  <w:style w:type="paragraph" w:styleId="IntenseQuote">
    <w:name w:val="Intense Quote"/>
    <w:basedOn w:val="Normal"/>
    <w:next w:val="Normal"/>
    <w:link w:val="IntenseQuoteChar"/>
    <w:uiPriority w:val="30"/>
    <w:qFormat/>
    <w:rsid w:val="00F04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779"/>
    <w:rPr>
      <w:i/>
      <w:iCs/>
      <w:color w:val="0F4761" w:themeColor="accent1" w:themeShade="BF"/>
    </w:rPr>
  </w:style>
  <w:style w:type="character" w:styleId="IntenseReference">
    <w:name w:val="Intense Reference"/>
    <w:basedOn w:val="DefaultParagraphFont"/>
    <w:uiPriority w:val="32"/>
    <w:qFormat/>
    <w:rsid w:val="00F04779"/>
    <w:rPr>
      <w:b/>
      <w:bCs/>
      <w:smallCaps/>
      <w:color w:val="0F4761" w:themeColor="accent1" w:themeShade="BF"/>
      <w:spacing w:val="5"/>
    </w:rPr>
  </w:style>
  <w:style w:type="table" w:styleId="TableGrid">
    <w:name w:val="Table Grid"/>
    <w:basedOn w:val="TableNormal"/>
    <w:uiPriority w:val="39"/>
    <w:rsid w:val="00BF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593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921">
      <w:bodyDiv w:val="1"/>
      <w:marLeft w:val="0"/>
      <w:marRight w:val="0"/>
      <w:marTop w:val="0"/>
      <w:marBottom w:val="0"/>
      <w:divBdr>
        <w:top w:val="none" w:sz="0" w:space="0" w:color="auto"/>
        <w:left w:val="none" w:sz="0" w:space="0" w:color="auto"/>
        <w:bottom w:val="none" w:sz="0" w:space="0" w:color="auto"/>
        <w:right w:val="none" w:sz="0" w:space="0" w:color="auto"/>
      </w:divBdr>
      <w:divsChild>
        <w:div w:id="954866723">
          <w:marLeft w:val="0"/>
          <w:marRight w:val="0"/>
          <w:marTop w:val="0"/>
          <w:marBottom w:val="0"/>
          <w:divBdr>
            <w:top w:val="none" w:sz="0" w:space="0" w:color="auto"/>
            <w:left w:val="none" w:sz="0" w:space="0" w:color="auto"/>
            <w:bottom w:val="none" w:sz="0" w:space="0" w:color="auto"/>
            <w:right w:val="none" w:sz="0" w:space="0" w:color="auto"/>
          </w:divBdr>
        </w:div>
      </w:divsChild>
    </w:div>
    <w:div w:id="957880300">
      <w:bodyDiv w:val="1"/>
      <w:marLeft w:val="0"/>
      <w:marRight w:val="0"/>
      <w:marTop w:val="0"/>
      <w:marBottom w:val="0"/>
      <w:divBdr>
        <w:top w:val="none" w:sz="0" w:space="0" w:color="auto"/>
        <w:left w:val="none" w:sz="0" w:space="0" w:color="auto"/>
        <w:bottom w:val="none" w:sz="0" w:space="0" w:color="auto"/>
        <w:right w:val="none" w:sz="0" w:space="0" w:color="auto"/>
      </w:divBdr>
    </w:div>
    <w:div w:id="1016418794">
      <w:bodyDiv w:val="1"/>
      <w:marLeft w:val="0"/>
      <w:marRight w:val="0"/>
      <w:marTop w:val="0"/>
      <w:marBottom w:val="0"/>
      <w:divBdr>
        <w:top w:val="none" w:sz="0" w:space="0" w:color="auto"/>
        <w:left w:val="none" w:sz="0" w:space="0" w:color="auto"/>
        <w:bottom w:val="none" w:sz="0" w:space="0" w:color="auto"/>
        <w:right w:val="none" w:sz="0" w:space="0" w:color="auto"/>
      </w:divBdr>
    </w:div>
    <w:div w:id="1512908840">
      <w:bodyDiv w:val="1"/>
      <w:marLeft w:val="0"/>
      <w:marRight w:val="0"/>
      <w:marTop w:val="0"/>
      <w:marBottom w:val="0"/>
      <w:divBdr>
        <w:top w:val="none" w:sz="0" w:space="0" w:color="auto"/>
        <w:left w:val="none" w:sz="0" w:space="0" w:color="auto"/>
        <w:bottom w:val="none" w:sz="0" w:space="0" w:color="auto"/>
        <w:right w:val="none" w:sz="0" w:space="0" w:color="auto"/>
      </w:divBdr>
    </w:div>
    <w:div w:id="1823616304">
      <w:bodyDiv w:val="1"/>
      <w:marLeft w:val="0"/>
      <w:marRight w:val="0"/>
      <w:marTop w:val="0"/>
      <w:marBottom w:val="0"/>
      <w:divBdr>
        <w:top w:val="none" w:sz="0" w:space="0" w:color="auto"/>
        <w:left w:val="none" w:sz="0" w:space="0" w:color="auto"/>
        <w:bottom w:val="none" w:sz="0" w:space="0" w:color="auto"/>
        <w:right w:val="none" w:sz="0" w:space="0" w:color="auto"/>
      </w:divBdr>
      <w:divsChild>
        <w:div w:id="499466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Declan Mahony</dc:creator>
  <cp:keywords/>
  <dc:description/>
  <cp:lastModifiedBy>Declan Mahony</cp:lastModifiedBy>
  <cp:revision>3</cp:revision>
  <dcterms:created xsi:type="dcterms:W3CDTF">2025-06-24T13:35:00Z</dcterms:created>
  <dcterms:modified xsi:type="dcterms:W3CDTF">2025-07-29T11:05:00Z</dcterms:modified>
</cp:coreProperties>
</file>