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087F004A" w:rsidR="00177915" w:rsidRDefault="00841039" w:rsidP="007D553D">
      <w:pPr>
        <w:pStyle w:val="Heading1"/>
      </w:pPr>
      <w:r>
        <w:t xml:space="preserve">Melton </w:t>
      </w:r>
      <w:r w:rsidR="00BA25B9" w:rsidRPr="00F34831">
        <w:t>CS 405 Project Two Script</w:t>
      </w:r>
    </w:p>
    <w:p w14:paraId="2A60A65E" w14:textId="77777777" w:rsidR="002D01AC" w:rsidRPr="002D01AC" w:rsidRDefault="002D01AC" w:rsidP="002D01AC"/>
    <w:p w14:paraId="28F8D14C" w14:textId="7721DE5F" w:rsidR="00205420" w:rsidRPr="00205420" w:rsidRDefault="002D01AC" w:rsidP="00205420">
      <w:hyperlink r:id="rId10" w:history="1">
        <w:r w:rsidRPr="00093099">
          <w:rPr>
            <w:rStyle w:val="Hyperlink"/>
          </w:rPr>
          <w:t>https://www.youtube.com/watch?v=2SBS</w:t>
        </w:r>
        <w:r w:rsidRPr="00093099">
          <w:rPr>
            <w:rStyle w:val="Hyperlink"/>
          </w:rPr>
          <w:t>b</w:t>
        </w:r>
        <w:r w:rsidRPr="00093099">
          <w:rPr>
            <w:rStyle w:val="Hyperlink"/>
          </w:rPr>
          <w:t>gRb_9o</w:t>
        </w:r>
      </w:hyperlink>
      <w:r>
        <w:t xml:space="preserve"> </w:t>
      </w:r>
    </w:p>
    <w:p w14:paraId="1D8A85EE" w14:textId="77777777" w:rsidR="007D553D" w:rsidRPr="00F34831"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F34831" w14:paraId="35AE1259" w14:textId="77777777" w:rsidTr="007D553D">
        <w:trPr>
          <w:trHeight w:val="1373"/>
          <w:tblHeader/>
        </w:trPr>
        <w:tc>
          <w:tcPr>
            <w:tcW w:w="2115" w:type="dxa"/>
            <w:vAlign w:val="center"/>
          </w:tcPr>
          <w:p w14:paraId="4208F210" w14:textId="77777777" w:rsidR="00177915" w:rsidRPr="00F34831" w:rsidRDefault="00BA25B9" w:rsidP="007D553D">
            <w:pPr>
              <w:suppressAutoHyphens/>
              <w:jc w:val="center"/>
              <w:rPr>
                <w:b/>
              </w:rPr>
            </w:pPr>
            <w:r w:rsidRPr="00F34831">
              <w:rPr>
                <w:b/>
              </w:rPr>
              <w:t>Slide Number</w:t>
            </w:r>
          </w:p>
        </w:tc>
        <w:tc>
          <w:tcPr>
            <w:tcW w:w="7455" w:type="dxa"/>
            <w:vAlign w:val="center"/>
          </w:tcPr>
          <w:p w14:paraId="6C3B3005" w14:textId="77777777" w:rsidR="00177915" w:rsidRPr="00F34831" w:rsidRDefault="00BA25B9" w:rsidP="007D553D">
            <w:pPr>
              <w:suppressAutoHyphens/>
              <w:jc w:val="center"/>
              <w:rPr>
                <w:b/>
              </w:rPr>
            </w:pPr>
            <w:r w:rsidRPr="00F34831">
              <w:rPr>
                <w:b/>
              </w:rPr>
              <w:t>Narrative</w:t>
            </w:r>
          </w:p>
        </w:tc>
      </w:tr>
      <w:tr w:rsidR="00177915" w:rsidRPr="00F34831" w14:paraId="1C716D72" w14:textId="77777777" w:rsidTr="007D553D">
        <w:trPr>
          <w:trHeight w:val="1296"/>
        </w:trPr>
        <w:tc>
          <w:tcPr>
            <w:tcW w:w="2115" w:type="dxa"/>
            <w:vAlign w:val="center"/>
          </w:tcPr>
          <w:p w14:paraId="7202B4C6" w14:textId="77777777" w:rsidR="00177915" w:rsidRPr="00F34831" w:rsidRDefault="00BA25B9" w:rsidP="007D553D">
            <w:pPr>
              <w:suppressAutoHyphens/>
              <w:jc w:val="center"/>
              <w:rPr>
                <w:b/>
              </w:rPr>
            </w:pPr>
            <w:r w:rsidRPr="00F34831">
              <w:rPr>
                <w:b/>
              </w:rPr>
              <w:t>1</w:t>
            </w:r>
          </w:p>
        </w:tc>
        <w:tc>
          <w:tcPr>
            <w:tcW w:w="7455" w:type="dxa"/>
          </w:tcPr>
          <w:p w14:paraId="6CDE04F7" w14:textId="125BB7D1" w:rsidR="00177915" w:rsidRPr="00F34831" w:rsidRDefault="00F34831" w:rsidP="007D553D">
            <w:pPr>
              <w:suppressAutoHyphens/>
            </w:pPr>
            <w:r w:rsidRPr="00F34831">
              <w:t>Hello, and welcome to my presentation on the Green Pace Secure Development Policy. My name is Dexter Melton, and today I will walk you through the standardized security policies, coding standards, guiding principles, and testing strategies that support our organization’s defense-in-depth approach to secure software development. This presentation explains how our daily practices have been formalized into a clear, repeatable, and enforceable security framework.</w:t>
            </w:r>
          </w:p>
        </w:tc>
      </w:tr>
      <w:tr w:rsidR="00177915" w:rsidRPr="00F34831" w14:paraId="389ED8C6" w14:textId="77777777" w:rsidTr="007D553D">
        <w:trPr>
          <w:trHeight w:val="1373"/>
        </w:trPr>
        <w:tc>
          <w:tcPr>
            <w:tcW w:w="2115" w:type="dxa"/>
            <w:vAlign w:val="center"/>
          </w:tcPr>
          <w:p w14:paraId="46806FAD" w14:textId="77777777" w:rsidR="00177915" w:rsidRPr="00F34831" w:rsidRDefault="00BA25B9" w:rsidP="007D553D">
            <w:pPr>
              <w:suppressAutoHyphens/>
              <w:jc w:val="center"/>
              <w:rPr>
                <w:b/>
              </w:rPr>
            </w:pPr>
            <w:r w:rsidRPr="00F34831">
              <w:rPr>
                <w:b/>
              </w:rPr>
              <w:t>2</w:t>
            </w:r>
          </w:p>
        </w:tc>
        <w:tc>
          <w:tcPr>
            <w:tcW w:w="7455" w:type="dxa"/>
          </w:tcPr>
          <w:p w14:paraId="484921B4" w14:textId="6AA8A814" w:rsidR="00177915" w:rsidRPr="00F34831" w:rsidRDefault="00F34831" w:rsidP="007D553D">
            <w:pPr>
              <w:suppressAutoHyphens/>
            </w:pPr>
            <w:r w:rsidRPr="00F34831">
              <w:t xml:space="preserve">Green Pace has relied on </w:t>
            </w:r>
            <w:proofErr w:type="gramStart"/>
            <w:r w:rsidRPr="00F34831">
              <w:t>informal best</w:t>
            </w:r>
            <w:proofErr w:type="gramEnd"/>
            <w:r w:rsidRPr="00F34831">
              <w:t xml:space="preserve"> practices for years, but as our development team continues to grow, it has become essential to document and standardize our approach to software security. The Secure Development Policy ensures all developers implement consistent security controls from design through deployment. This policy enhances our defense-in-depth strategy by layering protections across architecture, coding standards, testing, and operational processes, reducing the overall attack surface and catching vulnerabilities early.</w:t>
            </w:r>
          </w:p>
        </w:tc>
      </w:tr>
      <w:tr w:rsidR="00177915" w:rsidRPr="00F34831" w14:paraId="60921BDE" w14:textId="77777777" w:rsidTr="007D553D">
        <w:trPr>
          <w:trHeight w:val="1296"/>
        </w:trPr>
        <w:tc>
          <w:tcPr>
            <w:tcW w:w="2115" w:type="dxa"/>
            <w:vAlign w:val="center"/>
          </w:tcPr>
          <w:p w14:paraId="40EEEA5D" w14:textId="77777777" w:rsidR="00177915" w:rsidRPr="00F34831" w:rsidRDefault="00BA25B9" w:rsidP="007D553D">
            <w:pPr>
              <w:suppressAutoHyphens/>
              <w:jc w:val="center"/>
              <w:rPr>
                <w:b/>
              </w:rPr>
            </w:pPr>
            <w:r w:rsidRPr="00F34831">
              <w:rPr>
                <w:b/>
              </w:rPr>
              <w:t>3</w:t>
            </w:r>
          </w:p>
        </w:tc>
        <w:tc>
          <w:tcPr>
            <w:tcW w:w="7455" w:type="dxa"/>
          </w:tcPr>
          <w:p w14:paraId="28A1C1BC" w14:textId="3E1BF415" w:rsidR="00177915" w:rsidRPr="00F34831" w:rsidRDefault="00F34831" w:rsidP="007D553D">
            <w:pPr>
              <w:suppressAutoHyphens/>
            </w:pPr>
            <w:r>
              <w:t xml:space="preserve">This threat matrix summarizes the ten coding vulnerabilities outlined in the Secure Development Policy. They are classified based on likelihood and priority to help identify the most immediate risks. Issues like null-pointer string creation, SQL injection, memory access errors, and unsafe container indexing fall into the ‘likely and high priority’ category, meaning they need to be addressed first. Less likely items, such as static assertions or file-closing inconsistencies, pose lower risks but still require attention. Automation is essential for detecting these vulnerabilities. Tools such as </w:t>
            </w:r>
            <w:proofErr w:type="spellStart"/>
            <w:r>
              <w:t>CodeSonar</w:t>
            </w:r>
            <w:proofErr w:type="spellEnd"/>
            <w:r>
              <w:t xml:space="preserve">, Coverity, </w:t>
            </w:r>
            <w:proofErr w:type="spellStart"/>
            <w:r>
              <w:t>Parasoft</w:t>
            </w:r>
            <w:proofErr w:type="spellEnd"/>
            <w:r>
              <w:t xml:space="preserve">, </w:t>
            </w:r>
            <w:proofErr w:type="spellStart"/>
            <w:r>
              <w:t>Polyspace</w:t>
            </w:r>
            <w:proofErr w:type="spellEnd"/>
            <w:r>
              <w:t>, and Clang-Tidy are integrated into our development pipeline to continuously scan for unsafe operations, data handling problems, and resource management issues. Automated enforcement helps detect vulnerabilities early and prevents risky code from reaching production.</w:t>
            </w:r>
          </w:p>
        </w:tc>
      </w:tr>
      <w:tr w:rsidR="00177915" w:rsidRPr="00F34831" w14:paraId="3E69DF9E" w14:textId="77777777" w:rsidTr="007D553D">
        <w:trPr>
          <w:trHeight w:val="1373"/>
        </w:trPr>
        <w:tc>
          <w:tcPr>
            <w:tcW w:w="2115" w:type="dxa"/>
            <w:vAlign w:val="center"/>
          </w:tcPr>
          <w:p w14:paraId="6043F3EE" w14:textId="77777777" w:rsidR="00177915" w:rsidRPr="00F34831" w:rsidRDefault="00BA25B9" w:rsidP="007D553D">
            <w:pPr>
              <w:suppressAutoHyphens/>
              <w:jc w:val="center"/>
              <w:rPr>
                <w:b/>
              </w:rPr>
            </w:pPr>
            <w:r w:rsidRPr="00F34831">
              <w:rPr>
                <w:b/>
              </w:rPr>
              <w:t>4</w:t>
            </w:r>
          </w:p>
        </w:tc>
        <w:tc>
          <w:tcPr>
            <w:tcW w:w="7455" w:type="dxa"/>
          </w:tcPr>
          <w:p w14:paraId="29F1DAF6" w14:textId="17323190" w:rsidR="00177915" w:rsidRPr="00F34831" w:rsidRDefault="002A1DDA" w:rsidP="007D553D">
            <w:pPr>
              <w:suppressAutoHyphens/>
            </w:pPr>
            <w:r>
              <w:t xml:space="preserve">The Secure Development Policy is founded on ten widely recognized security principles. Each principle corresponds to one or more coding standards. For instance, the principle of validating input data aligns with standards related to string safety, enumeration casts, and container indexing. Defense in depth supports standards connected to exception handling and data sanitization. Additionally, the principle of adopting a secure coding standard applies across all ten standards. By aligning coding rules with these core principles, Green Pace ensures our policy is based on </w:t>
            </w:r>
            <w:proofErr w:type="gramStart"/>
            <w:r>
              <w:t>industry</w:t>
            </w:r>
            <w:proofErr w:type="gramEnd"/>
            <w:r>
              <w:t xml:space="preserve"> best practices and designed for long-term sustainability.</w:t>
            </w:r>
          </w:p>
        </w:tc>
      </w:tr>
      <w:tr w:rsidR="00177915" w:rsidRPr="00F34831" w14:paraId="58F717C1" w14:textId="77777777" w:rsidTr="007D553D">
        <w:trPr>
          <w:trHeight w:val="1296"/>
        </w:trPr>
        <w:tc>
          <w:tcPr>
            <w:tcW w:w="2115" w:type="dxa"/>
            <w:vAlign w:val="center"/>
          </w:tcPr>
          <w:p w14:paraId="7EB4787A" w14:textId="77777777" w:rsidR="00177915" w:rsidRPr="00F34831" w:rsidRDefault="00BA25B9" w:rsidP="007D553D">
            <w:pPr>
              <w:suppressAutoHyphens/>
              <w:jc w:val="center"/>
              <w:rPr>
                <w:b/>
              </w:rPr>
            </w:pPr>
            <w:r w:rsidRPr="00F34831">
              <w:rPr>
                <w:b/>
              </w:rPr>
              <w:lastRenderedPageBreak/>
              <w:t>5</w:t>
            </w:r>
          </w:p>
        </w:tc>
        <w:tc>
          <w:tcPr>
            <w:tcW w:w="7455" w:type="dxa"/>
          </w:tcPr>
          <w:p w14:paraId="6C7ED67B" w14:textId="00A309F6" w:rsidR="00177915" w:rsidRPr="00F34831" w:rsidRDefault="002A1DDA" w:rsidP="007D553D">
            <w:pPr>
              <w:suppressAutoHyphens/>
            </w:pPr>
            <w:r>
              <w:t xml:space="preserve">These ten coding standards are ranked by severity, likelihood, and remediation cost. The highest-priority standards focus on memory safety, string correctness, and input sanitization, as these vulnerabilities pose the greatest risks to system integrity. Lower-priority items, like initializer ordering and file management, are still important but present less immediate risk. This ranking helps </w:t>
            </w:r>
            <w:proofErr w:type="gramStart"/>
            <w:r>
              <w:t>inform</w:t>
            </w:r>
            <w:proofErr w:type="gramEnd"/>
            <w:r>
              <w:t xml:space="preserve"> both training and automated enforcement, so we can concentrate on what matters most.</w:t>
            </w:r>
          </w:p>
        </w:tc>
      </w:tr>
      <w:tr w:rsidR="00177915" w:rsidRPr="00F34831" w14:paraId="1D6184BF" w14:textId="77777777" w:rsidTr="007D553D">
        <w:trPr>
          <w:trHeight w:val="1373"/>
        </w:trPr>
        <w:tc>
          <w:tcPr>
            <w:tcW w:w="2115" w:type="dxa"/>
            <w:vAlign w:val="center"/>
          </w:tcPr>
          <w:p w14:paraId="1A5736AF" w14:textId="77777777" w:rsidR="00177915" w:rsidRPr="00F34831" w:rsidRDefault="00BA25B9" w:rsidP="007D553D">
            <w:pPr>
              <w:suppressAutoHyphens/>
              <w:jc w:val="center"/>
              <w:rPr>
                <w:b/>
              </w:rPr>
            </w:pPr>
            <w:r w:rsidRPr="00F34831">
              <w:rPr>
                <w:b/>
              </w:rPr>
              <w:t>6</w:t>
            </w:r>
          </w:p>
        </w:tc>
        <w:tc>
          <w:tcPr>
            <w:tcW w:w="7455" w:type="dxa"/>
          </w:tcPr>
          <w:p w14:paraId="1ED99CCF" w14:textId="7BA9528C" w:rsidR="00177915" w:rsidRPr="00F34831" w:rsidRDefault="002A1DDA" w:rsidP="007D553D">
            <w:pPr>
              <w:suppressAutoHyphens/>
            </w:pPr>
            <w:r>
              <w:t xml:space="preserve">Green Pace employs encryption throughout every stage of the data lifecycle. Encryption at rest safeguards sensitive data stored in databases, backups, or local devices, keeping it protected even if hardware is compromised. Encryption in transit secures </w:t>
            </w:r>
            <w:proofErr w:type="gramStart"/>
            <w:r>
              <w:t>communications</w:t>
            </w:r>
            <w:proofErr w:type="gramEnd"/>
            <w:r>
              <w:t xml:space="preserve"> between systems using protocols like TLS to prevent interception or tampering. Encryption in use defends data during processing in memory by utilizing secure enclaves and access-controlled decryption. Combined, these measures ensure comprehensive end-to-end protection of sensitive information.</w:t>
            </w:r>
          </w:p>
        </w:tc>
      </w:tr>
      <w:tr w:rsidR="00177915" w:rsidRPr="00F34831" w14:paraId="19E871C4" w14:textId="77777777" w:rsidTr="007D553D">
        <w:trPr>
          <w:trHeight w:val="1296"/>
        </w:trPr>
        <w:tc>
          <w:tcPr>
            <w:tcW w:w="2115" w:type="dxa"/>
            <w:vAlign w:val="center"/>
          </w:tcPr>
          <w:p w14:paraId="412E5B2B" w14:textId="77777777" w:rsidR="00177915" w:rsidRPr="00F34831" w:rsidRDefault="00BA25B9" w:rsidP="007D553D">
            <w:pPr>
              <w:suppressAutoHyphens/>
              <w:jc w:val="center"/>
              <w:rPr>
                <w:b/>
              </w:rPr>
            </w:pPr>
            <w:r w:rsidRPr="00F34831">
              <w:rPr>
                <w:b/>
              </w:rPr>
              <w:t>7</w:t>
            </w:r>
          </w:p>
        </w:tc>
        <w:tc>
          <w:tcPr>
            <w:tcW w:w="7455" w:type="dxa"/>
          </w:tcPr>
          <w:p w14:paraId="2A6C5AE9" w14:textId="1D125228" w:rsidR="00177915" w:rsidRPr="00F34831" w:rsidRDefault="002A1DDA" w:rsidP="007D553D">
            <w:pPr>
              <w:suppressAutoHyphens/>
            </w:pPr>
            <w:r>
              <w:t>The Triple-A Framework, authentication, authorization, and accounting, defines how access is managed and monitored. Authentication confirms that each user or system component accessing Green Pace resources is verified using strong, multi-factor methods. Authorization restricts what authenticated entities can do by enforcing least privilege and requiring formal approval for role changes. Accounting offers traceability through detailed logging of all significant activities, including logins, database modifications, and privileged actions. These three components work together to ensure secure, auditable access control.</w:t>
            </w:r>
          </w:p>
        </w:tc>
      </w:tr>
      <w:tr w:rsidR="00177915" w:rsidRPr="00F34831" w14:paraId="1CB4AF40" w14:textId="77777777" w:rsidTr="007D553D">
        <w:trPr>
          <w:trHeight w:val="1296"/>
        </w:trPr>
        <w:tc>
          <w:tcPr>
            <w:tcW w:w="2115" w:type="dxa"/>
            <w:vAlign w:val="center"/>
          </w:tcPr>
          <w:p w14:paraId="05612CDF" w14:textId="77777777" w:rsidR="00177915" w:rsidRPr="00F34831" w:rsidRDefault="00BA25B9" w:rsidP="007D553D">
            <w:pPr>
              <w:suppressAutoHyphens/>
              <w:jc w:val="center"/>
              <w:rPr>
                <w:b/>
              </w:rPr>
            </w:pPr>
            <w:r w:rsidRPr="00F34831">
              <w:rPr>
                <w:b/>
              </w:rPr>
              <w:t>8</w:t>
            </w:r>
          </w:p>
        </w:tc>
        <w:tc>
          <w:tcPr>
            <w:tcW w:w="7455" w:type="dxa"/>
          </w:tcPr>
          <w:p w14:paraId="7C03111E" w14:textId="31E92480" w:rsidR="00177915" w:rsidRPr="00F34831" w:rsidRDefault="002A1DDA" w:rsidP="007D553D">
            <w:pPr>
              <w:suppressAutoHyphens/>
            </w:pPr>
            <w:r>
              <w:t>To validate our coding standards and prevent vulnerabilities from reaching production, we use automated unit tests built with the Google Test framework in Visual Studio. These tests focus on verifying boundary conditions, invalid inputs, memory safety, and correct error handling. Each test includes both positive and negative scenarios to ensure that compliant behavior succeeds and noncompliant behavior is safely rejected. Unit testing supports defense-in-depth by confirming that every rule can be validated during development.</w:t>
            </w:r>
          </w:p>
        </w:tc>
      </w:tr>
      <w:tr w:rsidR="00177915" w:rsidRPr="00F34831" w14:paraId="16627A85" w14:textId="77777777" w:rsidTr="007D553D">
        <w:trPr>
          <w:trHeight w:val="1296"/>
        </w:trPr>
        <w:tc>
          <w:tcPr>
            <w:tcW w:w="2115" w:type="dxa"/>
            <w:vAlign w:val="center"/>
          </w:tcPr>
          <w:p w14:paraId="5AB3EDC2" w14:textId="77777777" w:rsidR="00177915" w:rsidRPr="00F34831" w:rsidRDefault="00BA25B9" w:rsidP="007D553D">
            <w:pPr>
              <w:suppressAutoHyphens/>
              <w:jc w:val="center"/>
              <w:rPr>
                <w:b/>
              </w:rPr>
            </w:pPr>
            <w:r w:rsidRPr="00F34831">
              <w:rPr>
                <w:b/>
              </w:rPr>
              <w:t>9</w:t>
            </w:r>
          </w:p>
        </w:tc>
        <w:tc>
          <w:tcPr>
            <w:tcW w:w="7455" w:type="dxa"/>
          </w:tcPr>
          <w:p w14:paraId="43B51E91" w14:textId="5F081E01" w:rsidR="00177915" w:rsidRPr="00F34831" w:rsidRDefault="002A1DDA" w:rsidP="007D553D">
            <w:pPr>
              <w:suppressAutoHyphens/>
            </w:pPr>
            <w:r>
              <w:t>The first test verifies whether the function correctly inserts a value when the index is valid. This demonstrates proper behavior. The function returns true, and the value is stored at the appropriate location. This creates a baseline for proper functionality.</w:t>
            </w:r>
          </w:p>
        </w:tc>
      </w:tr>
      <w:tr w:rsidR="00177915" w:rsidRPr="00F34831" w14:paraId="609CC02D" w14:textId="77777777" w:rsidTr="007D553D">
        <w:trPr>
          <w:trHeight w:val="1296"/>
        </w:trPr>
        <w:tc>
          <w:tcPr>
            <w:tcW w:w="2115" w:type="dxa"/>
            <w:vAlign w:val="center"/>
          </w:tcPr>
          <w:p w14:paraId="5B02EBA0" w14:textId="77777777" w:rsidR="00177915" w:rsidRPr="00F34831" w:rsidRDefault="00BA25B9" w:rsidP="007D553D">
            <w:pPr>
              <w:suppressAutoHyphens/>
              <w:jc w:val="center"/>
              <w:rPr>
                <w:b/>
              </w:rPr>
            </w:pPr>
            <w:r w:rsidRPr="00F34831">
              <w:rPr>
                <w:b/>
              </w:rPr>
              <w:t>10</w:t>
            </w:r>
          </w:p>
        </w:tc>
        <w:tc>
          <w:tcPr>
            <w:tcW w:w="7455" w:type="dxa"/>
          </w:tcPr>
          <w:p w14:paraId="1A163284" w14:textId="39C9EBA0" w:rsidR="00177915" w:rsidRPr="00F34831" w:rsidRDefault="0068636D" w:rsidP="007D553D">
            <w:pPr>
              <w:suppressAutoHyphens/>
            </w:pPr>
            <w:r>
              <w:t>The second test checks how the function responds when given an out-of-range index. The function should return false and not modify the container. This test verifies that unsafe memory access is prevented as required by STD-008.</w:t>
            </w:r>
          </w:p>
        </w:tc>
      </w:tr>
      <w:tr w:rsidR="00177915" w:rsidRPr="00F34831" w14:paraId="35903F49" w14:textId="77777777" w:rsidTr="007D553D">
        <w:trPr>
          <w:trHeight w:val="1296"/>
        </w:trPr>
        <w:tc>
          <w:tcPr>
            <w:tcW w:w="2115" w:type="dxa"/>
            <w:vAlign w:val="center"/>
          </w:tcPr>
          <w:p w14:paraId="78857076" w14:textId="77777777" w:rsidR="00177915" w:rsidRPr="00F34831" w:rsidRDefault="00BA25B9" w:rsidP="007D553D">
            <w:pPr>
              <w:suppressAutoHyphens/>
              <w:jc w:val="center"/>
              <w:rPr>
                <w:b/>
              </w:rPr>
            </w:pPr>
            <w:r w:rsidRPr="00F34831">
              <w:rPr>
                <w:b/>
              </w:rPr>
              <w:lastRenderedPageBreak/>
              <w:t>11</w:t>
            </w:r>
          </w:p>
        </w:tc>
        <w:tc>
          <w:tcPr>
            <w:tcW w:w="7455" w:type="dxa"/>
          </w:tcPr>
          <w:p w14:paraId="32385135" w14:textId="2BC38AA4" w:rsidR="00177915" w:rsidRPr="00F34831" w:rsidRDefault="0068636D" w:rsidP="007D553D">
            <w:pPr>
              <w:suppressAutoHyphens/>
            </w:pPr>
            <w:r>
              <w:t>The third test addresses a common boundary mistake, using an index equal to the container size. Although this seems valid, it is still out of range. The function must reject this, and the test confirms that behavior.</w:t>
            </w:r>
          </w:p>
        </w:tc>
      </w:tr>
      <w:tr w:rsidR="00177915" w:rsidRPr="00F34831" w14:paraId="2637279C" w14:textId="77777777" w:rsidTr="007D553D">
        <w:trPr>
          <w:trHeight w:val="1296"/>
        </w:trPr>
        <w:tc>
          <w:tcPr>
            <w:tcW w:w="2115" w:type="dxa"/>
            <w:vAlign w:val="center"/>
          </w:tcPr>
          <w:p w14:paraId="79D8B5F9" w14:textId="77777777" w:rsidR="00177915" w:rsidRPr="00F34831" w:rsidRDefault="00BA25B9" w:rsidP="007D553D">
            <w:pPr>
              <w:suppressAutoHyphens/>
              <w:jc w:val="center"/>
              <w:rPr>
                <w:b/>
              </w:rPr>
            </w:pPr>
            <w:r w:rsidRPr="00F34831">
              <w:rPr>
                <w:b/>
              </w:rPr>
              <w:t>12</w:t>
            </w:r>
          </w:p>
        </w:tc>
        <w:tc>
          <w:tcPr>
            <w:tcW w:w="7455" w:type="dxa"/>
          </w:tcPr>
          <w:p w14:paraId="09CA053A" w14:textId="43EAF2FE" w:rsidR="00177915" w:rsidRPr="00F34831" w:rsidRDefault="0068636D" w:rsidP="007D553D">
            <w:pPr>
              <w:suppressAutoHyphens/>
            </w:pPr>
            <w:r>
              <w:t>The fourth test evaluates how the function behaves when the container is empty. Any attempt to write at index zero must fail safely. This ensures that the function prevents undefined behavior even in edge cases.</w:t>
            </w:r>
          </w:p>
        </w:tc>
      </w:tr>
      <w:tr w:rsidR="00177915" w:rsidRPr="00F34831" w14:paraId="040861A0" w14:textId="77777777" w:rsidTr="007D553D">
        <w:trPr>
          <w:trHeight w:val="1296"/>
        </w:trPr>
        <w:tc>
          <w:tcPr>
            <w:tcW w:w="2115" w:type="dxa"/>
            <w:vAlign w:val="center"/>
          </w:tcPr>
          <w:p w14:paraId="2CF76596" w14:textId="77777777" w:rsidR="00177915" w:rsidRPr="00F34831" w:rsidRDefault="00BA25B9" w:rsidP="007D553D">
            <w:pPr>
              <w:suppressAutoHyphens/>
              <w:jc w:val="center"/>
              <w:rPr>
                <w:b/>
              </w:rPr>
            </w:pPr>
            <w:r w:rsidRPr="00F34831">
              <w:rPr>
                <w:b/>
              </w:rPr>
              <w:t>13</w:t>
            </w:r>
          </w:p>
        </w:tc>
        <w:tc>
          <w:tcPr>
            <w:tcW w:w="7455" w:type="dxa"/>
          </w:tcPr>
          <w:p w14:paraId="2A010422" w14:textId="0BE0940B" w:rsidR="00177915" w:rsidRPr="00F34831" w:rsidRDefault="0001460E" w:rsidP="007D553D">
            <w:pPr>
              <w:suppressAutoHyphens/>
            </w:pPr>
            <w:r w:rsidRPr="00F34831">
              <w:t>The final test performs multiple valid and invalid operations in sequence. Valid inserts succeed, invalid ones fail, and previously stored values remain unchanged. This demonstrates consistent and reliable safety controls across repeated operations.</w:t>
            </w:r>
          </w:p>
        </w:tc>
      </w:tr>
      <w:tr w:rsidR="00177915" w:rsidRPr="00F34831" w14:paraId="37616630" w14:textId="77777777" w:rsidTr="007D553D">
        <w:trPr>
          <w:trHeight w:val="1296"/>
        </w:trPr>
        <w:tc>
          <w:tcPr>
            <w:tcW w:w="2115" w:type="dxa"/>
            <w:vAlign w:val="center"/>
          </w:tcPr>
          <w:p w14:paraId="5095DF5C" w14:textId="77777777" w:rsidR="00177915" w:rsidRPr="00F34831" w:rsidRDefault="00BA25B9" w:rsidP="007D553D">
            <w:pPr>
              <w:suppressAutoHyphens/>
              <w:jc w:val="center"/>
              <w:rPr>
                <w:b/>
              </w:rPr>
            </w:pPr>
            <w:r w:rsidRPr="00F34831">
              <w:rPr>
                <w:b/>
              </w:rPr>
              <w:t>14</w:t>
            </w:r>
          </w:p>
        </w:tc>
        <w:tc>
          <w:tcPr>
            <w:tcW w:w="7455" w:type="dxa"/>
          </w:tcPr>
          <w:p w14:paraId="20A6BB05" w14:textId="4272794D" w:rsidR="00177915" w:rsidRPr="00F34831" w:rsidRDefault="007F6017" w:rsidP="007D553D">
            <w:pPr>
              <w:suppressAutoHyphens/>
            </w:pPr>
            <w:r>
              <w:t>This image illustrates the workflow we are adopting. It is a continuous process of refining and releasing secure content with clear focus at each step.</w:t>
            </w:r>
          </w:p>
        </w:tc>
      </w:tr>
      <w:tr w:rsidR="0001460E" w:rsidRPr="00F34831" w14:paraId="5C37B8A4" w14:textId="77777777" w:rsidTr="007D553D">
        <w:trPr>
          <w:trHeight w:val="1296"/>
        </w:trPr>
        <w:tc>
          <w:tcPr>
            <w:tcW w:w="2115" w:type="dxa"/>
            <w:vAlign w:val="center"/>
          </w:tcPr>
          <w:p w14:paraId="2A661D8F" w14:textId="5BEA83F8" w:rsidR="0001460E" w:rsidRPr="00F34831" w:rsidRDefault="0001460E" w:rsidP="007D553D">
            <w:pPr>
              <w:suppressAutoHyphens/>
              <w:jc w:val="center"/>
              <w:rPr>
                <w:b/>
              </w:rPr>
            </w:pPr>
            <w:r w:rsidRPr="00F34831">
              <w:rPr>
                <w:b/>
              </w:rPr>
              <w:t>15</w:t>
            </w:r>
          </w:p>
        </w:tc>
        <w:tc>
          <w:tcPr>
            <w:tcW w:w="7455" w:type="dxa"/>
          </w:tcPr>
          <w:p w14:paraId="2A88C69A" w14:textId="16516CED" w:rsidR="0001460E" w:rsidRPr="00F34831" w:rsidRDefault="00D46F76" w:rsidP="007D553D">
            <w:pPr>
              <w:suppressAutoHyphens/>
            </w:pPr>
            <w:r>
              <w:t xml:space="preserve">Automation is integrated throughout the </w:t>
            </w:r>
            <w:proofErr w:type="spellStart"/>
            <w:r>
              <w:t>DevSecOps</w:t>
            </w:r>
            <w:proofErr w:type="spellEnd"/>
            <w:r>
              <w:t xml:space="preserve"> pipeline. During planning, automated tools help identify architectural risks. During the build phase, static analyzers scan code for violations of Green Pace’s standards. During testing, unit tests, fuzzing, and security scans verify behavior before deployment. After deployment, runtime monitoring tools detect anomalies and privilege misuse. Automation guarantees that secure coding practices are enforced continuously, not just during development, which strengthens our defense-in-depth strategy.</w:t>
            </w:r>
          </w:p>
        </w:tc>
      </w:tr>
      <w:tr w:rsidR="0001460E" w:rsidRPr="00F34831" w14:paraId="24FFD85F" w14:textId="77777777" w:rsidTr="007D553D">
        <w:trPr>
          <w:trHeight w:val="1296"/>
        </w:trPr>
        <w:tc>
          <w:tcPr>
            <w:tcW w:w="2115" w:type="dxa"/>
            <w:vAlign w:val="center"/>
          </w:tcPr>
          <w:p w14:paraId="6384068F" w14:textId="0EA81A3A" w:rsidR="0001460E" w:rsidRPr="00F34831" w:rsidRDefault="0001460E" w:rsidP="007D553D">
            <w:pPr>
              <w:suppressAutoHyphens/>
              <w:jc w:val="center"/>
              <w:rPr>
                <w:b/>
              </w:rPr>
            </w:pPr>
            <w:r w:rsidRPr="00F34831">
              <w:rPr>
                <w:b/>
              </w:rPr>
              <w:t>16</w:t>
            </w:r>
          </w:p>
        </w:tc>
        <w:tc>
          <w:tcPr>
            <w:tcW w:w="7455" w:type="dxa"/>
          </w:tcPr>
          <w:p w14:paraId="5AFC8825" w14:textId="5C6C4286" w:rsidR="0001460E" w:rsidRPr="00F34831" w:rsidRDefault="00D46F76" w:rsidP="007D553D">
            <w:pPr>
              <w:suppressAutoHyphens/>
            </w:pPr>
            <w:r>
              <w:t>Addressing vulnerabilities early offers clear advantages: a reduced attack surface, lower remediation costs, improved system stability, and fewer disruptions during development. Delaying these issues increases risks such as potential exploitation, data corruption, and cascading system failures. While lower-priority problems might not need immediate action, they should still be included in long-term development plans to ensure high software quality.</w:t>
            </w:r>
          </w:p>
        </w:tc>
      </w:tr>
      <w:tr w:rsidR="0001460E" w:rsidRPr="00F34831" w14:paraId="35DEB920" w14:textId="77777777" w:rsidTr="007D553D">
        <w:trPr>
          <w:trHeight w:val="1296"/>
        </w:trPr>
        <w:tc>
          <w:tcPr>
            <w:tcW w:w="2115" w:type="dxa"/>
            <w:vAlign w:val="center"/>
          </w:tcPr>
          <w:p w14:paraId="36B5AADD" w14:textId="22BF6118" w:rsidR="0001460E" w:rsidRPr="00F34831" w:rsidRDefault="0001460E" w:rsidP="007D553D">
            <w:pPr>
              <w:suppressAutoHyphens/>
              <w:jc w:val="center"/>
              <w:rPr>
                <w:b/>
              </w:rPr>
            </w:pPr>
            <w:r w:rsidRPr="00F34831">
              <w:rPr>
                <w:b/>
              </w:rPr>
              <w:t>17</w:t>
            </w:r>
          </w:p>
        </w:tc>
        <w:tc>
          <w:tcPr>
            <w:tcW w:w="7455" w:type="dxa"/>
          </w:tcPr>
          <w:p w14:paraId="7268B46D" w14:textId="7F267D5B" w:rsidR="0001460E" w:rsidRPr="00F34831" w:rsidRDefault="00D46F76" w:rsidP="007D553D">
            <w:pPr>
              <w:suppressAutoHyphens/>
            </w:pPr>
            <w:r>
              <w:t>To further strengthen Green Pace’s security posture, we should expand static and dynamic analysis coverage, increase developer training, and adopt more secure coding standards for memory management and cryptography. Enhancing logging, improving documentation, and regularly reviewing permissions will also support our access control strategy. These measures will help ensure our policy remains effective as our systems and team grow.</w:t>
            </w:r>
          </w:p>
        </w:tc>
      </w:tr>
      <w:tr w:rsidR="0001460E" w:rsidRPr="00F34831" w14:paraId="2EA1C7B4" w14:textId="77777777" w:rsidTr="007D553D">
        <w:trPr>
          <w:trHeight w:val="1296"/>
        </w:trPr>
        <w:tc>
          <w:tcPr>
            <w:tcW w:w="2115" w:type="dxa"/>
            <w:vAlign w:val="center"/>
          </w:tcPr>
          <w:p w14:paraId="6D3792A1" w14:textId="4DFFAB23" w:rsidR="0001460E" w:rsidRPr="00F34831" w:rsidRDefault="0001460E" w:rsidP="007D553D">
            <w:pPr>
              <w:suppressAutoHyphens/>
              <w:jc w:val="center"/>
              <w:rPr>
                <w:b/>
              </w:rPr>
            </w:pPr>
            <w:r w:rsidRPr="00F34831">
              <w:rPr>
                <w:b/>
              </w:rPr>
              <w:lastRenderedPageBreak/>
              <w:t>18</w:t>
            </w:r>
          </w:p>
        </w:tc>
        <w:tc>
          <w:tcPr>
            <w:tcW w:w="7455" w:type="dxa"/>
          </w:tcPr>
          <w:p w14:paraId="080122D4" w14:textId="1C09F664" w:rsidR="0001460E" w:rsidRPr="00F34831" w:rsidRDefault="00D46F76" w:rsidP="007D553D">
            <w:pPr>
              <w:suppressAutoHyphens/>
            </w:pPr>
            <w:r>
              <w:t>In conclusion, the Green Pace Secure Development Policy establishes a solid, principle-based foundation for safe and reliable software. By aligning standards with key security principles, adopting rigorous testing practices, and integrating automation throughout the development lifecycle, we build a proactive and resilient security framework. Continually improving our policies and tools will ensure Green Pace stays prepared to prevent emerging threats and maintain secure operations well into the future.</w:t>
            </w:r>
          </w:p>
        </w:tc>
      </w:tr>
      <w:tr w:rsidR="00DE702C" w:rsidRPr="00F34831" w14:paraId="50700D0B" w14:textId="77777777" w:rsidTr="007D553D">
        <w:trPr>
          <w:trHeight w:val="1296"/>
        </w:trPr>
        <w:tc>
          <w:tcPr>
            <w:tcW w:w="2115" w:type="dxa"/>
            <w:vAlign w:val="center"/>
          </w:tcPr>
          <w:p w14:paraId="5DF6D292" w14:textId="29CA47D5" w:rsidR="00DE702C" w:rsidRPr="00F34831" w:rsidRDefault="00DE702C" w:rsidP="007D553D">
            <w:pPr>
              <w:suppressAutoHyphens/>
              <w:jc w:val="center"/>
              <w:rPr>
                <w:b/>
              </w:rPr>
            </w:pPr>
            <w:r w:rsidRPr="00F34831">
              <w:rPr>
                <w:b/>
              </w:rPr>
              <w:t>19</w:t>
            </w:r>
          </w:p>
        </w:tc>
        <w:tc>
          <w:tcPr>
            <w:tcW w:w="7455" w:type="dxa"/>
          </w:tcPr>
          <w:p w14:paraId="60F920E6" w14:textId="40BEFC0F" w:rsidR="00DE702C" w:rsidRPr="00F34831" w:rsidRDefault="00D46F76" w:rsidP="007D553D">
            <w:pPr>
              <w:suppressAutoHyphens/>
            </w:pPr>
            <w:r>
              <w:t>These references support the standards and guidelines used in the policy and throughout this presentation.</w:t>
            </w:r>
          </w:p>
        </w:tc>
      </w:tr>
    </w:tbl>
    <w:p w14:paraId="2E9A2232" w14:textId="77777777" w:rsidR="00177915" w:rsidRPr="00F34831" w:rsidRDefault="00177915" w:rsidP="007D553D">
      <w:pPr>
        <w:suppressAutoHyphens/>
        <w:spacing w:after="0" w:line="240" w:lineRule="auto"/>
        <w:rPr>
          <w:b/>
        </w:rPr>
      </w:pPr>
    </w:p>
    <w:sectPr w:rsidR="00177915" w:rsidRPr="00F34831">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6ADB7" w14:textId="77777777" w:rsidR="00651713" w:rsidRDefault="00651713" w:rsidP="007D553D">
      <w:pPr>
        <w:spacing w:after="0" w:line="240" w:lineRule="auto"/>
      </w:pPr>
      <w:r>
        <w:separator/>
      </w:r>
    </w:p>
  </w:endnote>
  <w:endnote w:type="continuationSeparator" w:id="0">
    <w:p w14:paraId="7126619E" w14:textId="77777777" w:rsidR="00651713" w:rsidRDefault="00651713"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2D6B2" w14:textId="77777777" w:rsidR="00651713" w:rsidRDefault="00651713" w:rsidP="007D553D">
      <w:pPr>
        <w:spacing w:after="0" w:line="240" w:lineRule="auto"/>
      </w:pPr>
      <w:r>
        <w:separator/>
      </w:r>
    </w:p>
  </w:footnote>
  <w:footnote w:type="continuationSeparator" w:id="0">
    <w:p w14:paraId="6C08B856" w14:textId="77777777" w:rsidR="00651713" w:rsidRDefault="00651713"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460E"/>
    <w:rsid w:val="0013333F"/>
    <w:rsid w:val="00167A4E"/>
    <w:rsid w:val="00177915"/>
    <w:rsid w:val="00205420"/>
    <w:rsid w:val="002A1DDA"/>
    <w:rsid w:val="002D01AC"/>
    <w:rsid w:val="0032543C"/>
    <w:rsid w:val="003463DD"/>
    <w:rsid w:val="004222A4"/>
    <w:rsid w:val="00436A76"/>
    <w:rsid w:val="005D7F1F"/>
    <w:rsid w:val="006224BE"/>
    <w:rsid w:val="00651713"/>
    <w:rsid w:val="0068636D"/>
    <w:rsid w:val="0069729F"/>
    <w:rsid w:val="00777D45"/>
    <w:rsid w:val="007D553D"/>
    <w:rsid w:val="007F5E6D"/>
    <w:rsid w:val="007F6017"/>
    <w:rsid w:val="00841039"/>
    <w:rsid w:val="00870185"/>
    <w:rsid w:val="009241CB"/>
    <w:rsid w:val="009E6833"/>
    <w:rsid w:val="009E7696"/>
    <w:rsid w:val="00B40FBA"/>
    <w:rsid w:val="00BA25B9"/>
    <w:rsid w:val="00D46F76"/>
    <w:rsid w:val="00D842B7"/>
    <w:rsid w:val="00DE702C"/>
    <w:rsid w:val="00E33F53"/>
    <w:rsid w:val="00E52014"/>
    <w:rsid w:val="00E867CF"/>
    <w:rsid w:val="00ED1658"/>
    <w:rsid w:val="00F34831"/>
    <w:rsid w:val="00F74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2D01AC"/>
    <w:rPr>
      <w:color w:val="605E5C"/>
      <w:shd w:val="clear" w:color="auto" w:fill="E1DFDD"/>
    </w:rPr>
  </w:style>
  <w:style w:type="character" w:styleId="FollowedHyperlink">
    <w:name w:val="FollowedHyperlink"/>
    <w:basedOn w:val="DefaultParagraphFont"/>
    <w:uiPriority w:val="99"/>
    <w:semiHidden/>
    <w:unhideWhenUsed/>
    <w:rsid w:val="00E520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youtube.com/watch?v=2SBSbgRb_9o"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1158</Words>
  <Characters>7207</Characters>
  <Application>Microsoft Office Word</Application>
  <DocSecurity>0</DocSecurity>
  <Lines>138</Lines>
  <Paragraphs>49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Dexter Melton</cp:lastModifiedBy>
  <cp:revision>27</cp:revision>
  <dcterms:created xsi:type="dcterms:W3CDTF">2020-11-04T19:09:00Z</dcterms:created>
  <dcterms:modified xsi:type="dcterms:W3CDTF">2025-12-12T17:42:00Z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GrammarlyDocumentId">
    <vt:lpwstr>f0541ec4-1f91-4284-a1ad-c3df32aa0b71</vt:lpwstr>
  </property>
</Properties>
</file>