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AquaAlarm — Project Abstract</w:t>
      </w:r>
    </w:p>
    <w:p>
      <w:pPr>
        <w:pStyle w:val="Heading2"/>
      </w:pPr>
      <w:r>
        <w:t xml:space="preserve">Title</w:t>
      </w:r>
    </w:p>
    <w:p>
      <w:r>
        <w:rPr>
          <w:b/>
        </w:rPr>
        <w:t xml:space="preserve">AquaAlarm: An AI-Powered Groundwater Crisis Prediction and Early-Warning Platform for Tamil Nadu</w:t>
      </w:r>
    </w:p>
    <w:p>
      <w:pPr>
        <w:pStyle w:val="Heading2"/>
      </w:pPr>
      <w:r>
        <w:t xml:space="preserve">Abstract</w:t>
      </w:r>
    </w:p>
    <w:p>
      <w:r>
        <w:t xml:space="preserve">Tamil Nadu is one of India's most water-stressed states. Groundwater levels</w:t>
      </w:r>
    </w:p>
    <w:p>
      <w:r>
        <w:t xml:space="preserve">are falling by roughly 3–4 feet per year, and estimates suggest that by 2050</w:t>
      </w:r>
    </w:p>
    <w:p>
      <w:r>
        <w:t xml:space="preserve">as much as 80% of the state could face severe water stress. The challenge is</w:t>
      </w:r>
    </w:p>
    <w:p>
      <w:r>
        <w:t xml:space="preserve">not only that aquifers are depleting, but that farmers, lenders, and</w:t>
      </w:r>
    </w:p>
    <w:p>
      <w:r>
        <w:t xml:space="preserve">policymakers currently discover groundwater crises only *after* wells run dry</w:t>
      </w:r>
    </w:p>
    <w:p>
      <w:r>
        <w:t xml:space="preserve">or crop loans default — when remediation is expensive and often too late.</w:t>
      </w:r>
    </w:p>
    <w:p>
      <w:r>
        <w:rPr>
          <w:b/>
        </w:rPr>
        <w:t xml:space="preserve">AquaAlarm</w:t>
      </w:r>
      <w:r>
        <w:t xml:space="preserve"> is a web-based early-warning platform that gives all three</w:t>
      </w:r>
    </w:p>
    <w:p>
      <w:r>
        <w:t xml:space="preserve">stakeholders a single, shared, predictive view of groundwater health so that</w:t>
      </w:r>
    </w:p>
    <w:p>
      <w:r>
        <w:t xml:space="preserve">action can be taken </w:t>
      </w:r>
      <w:r>
        <w:rPr>
          <w:b/>
        </w:rPr>
        <w:t xml:space="preserve">30–90 days before</w:t>
      </w:r>
      <w:r>
        <w:t xml:space="preserve"> a crisis develops. The platform</w:t>
      </w:r>
    </w:p>
    <w:p>
      <w:r>
        <w:t xml:space="preserve">simulates a daily prediction engine: for each of ten representative Tamil Nadu</w:t>
      </w:r>
    </w:p>
    <w:p>
      <w:r>
        <w:t xml:space="preserve">taluks it projects groundwater depth over a 90-day horizon from an extraction</w:t>
      </w:r>
    </w:p>
    <w:p>
      <w:r>
        <w:t xml:space="preserve">index and forecast rainfall, classifies each taluk into green / yellow / red</w:t>
      </w:r>
    </w:p>
    <w:p>
      <w:r>
        <w:t xml:space="preserve">status, and automatically emits role-specific alerts and loan-risk flags when a</w:t>
      </w:r>
    </w:p>
    <w:p>
      <w:r>
        <w:t xml:space="preserve">taluk crosses into crisis territory.</w:t>
      </w:r>
    </w:p>
    <w:p>
      <w:r>
        <w:t xml:space="preserve">The platform presents the same underlying forecast through three tailored</w:t>
      </w:r>
    </w:p>
    <w:p>
      <w:r>
        <w:t xml:space="preserve">role-based dashboards, each protected by a login gate that redirects</w:t>
      </w:r>
    </w:p>
    <w:p>
      <w:r>
        <w:t xml:space="preserve">unauthenticated visitors to the sign-in page:</w:t>
      </w:r>
    </w:p>
    <w:p>
      <w:pPr>
        <w:pStyle w:val="ListParagraph"/>
      </w:pPr>
      <w:r>
        <w:t xml:space="preserve">•  </w:t>
      </w:r>
      <w:r>
        <w:rPr>
          <w:b/>
        </w:rPr>
        <w:t xml:space="preserve">Farmer dashboard</w:t>
      </w:r>
      <w:r>
        <w:t xml:space="preserve"> — own-well depth and trend, days-until-local-crisis,</w:t>
      </w:r>
    </w:p>
    <w:p>
      <w:r>
        <w:t xml:space="preserve">low-water crop recommendations quantified against the farmer's current crop,</w:t>
      </w:r>
    </w:p>
    <w:p>
      <w:r>
        <w:t xml:space="preserve">and the government subsidies they qualify for.</w:t>
      </w:r>
    </w:p>
    <w:p>
      <w:pPr>
        <w:pStyle w:val="ListParagraph"/>
      </w:pPr>
      <w:r>
        <w:t xml:space="preserve">•  </w:t>
      </w:r>
      <w:r>
        <w:rPr>
          <w:b/>
        </w:rPr>
        <w:t xml:space="preserve">Bank dashboard</w:t>
      </w:r>
      <w:r>
        <w:t xml:space="preserve"> — a per-taluk credit-risk table (approve / monitor /</w:t>
      </w:r>
    </w:p>
    <w:p>
      <w:r>
        <w:t xml:space="preserve">restrict) with reasoning, automatic restriction of new crop loans in red</w:t>
      </w:r>
    </w:p>
    <w:p>
      <w:r>
        <w:t xml:space="preserve">taluks, and redirection of credit toward water-smart farming loans.</w:t>
      </w:r>
    </w:p>
    <w:p>
      <w:pPr>
        <w:pStyle w:val="ListParagraph"/>
      </w:pPr>
      <w:r>
        <w:t xml:space="preserve">•  </w:t>
      </w:r>
      <w:r>
        <w:rPr>
          <w:b/>
        </w:rPr>
        <w:t xml:space="preserve">Government dashboard</w:t>
      </w:r>
      <w:r>
        <w:t xml:space="preserve"> — a state risk map, ranked high-risk taluks,</w:t>
      </w:r>
    </w:p>
    <w:p>
      <w:r>
        <w:t xml:space="preserve">12-month depth histories with 90-day projections, and a tanker / borewell /</w:t>
      </w:r>
    </w:p>
    <w:p>
      <w:r>
        <w:t xml:space="preserve">subsidy resource-allocation panel.</w:t>
      </w:r>
    </w:p>
    <w:p>
      <w:r>
        <w:t xml:space="preserve">The application is built as a fully client-side React/Next.js application with</w:t>
      </w:r>
    </w:p>
    <w:p>
      <w:r>
        <w:t xml:space="preserve">a simulated data store that mirrors a real database/query API surface, so it</w:t>
      </w:r>
    </w:p>
    <w:p>
      <w:r>
        <w:t xml:space="preserve">runs anywhere — including static hosting on Vercel — with zero external</w:t>
      </w:r>
    </w:p>
    <w:p>
      <w:r>
        <w:t xml:space="preserve">services. All groundwater, rainfall, and prediction data are simulated and</w:t>
      </w:r>
    </w:p>
    <w:p>
      <w:r>
        <w:t xml:space="preserve">calibrated to be credible for Tamil Nadu's hydrogeology; the system is a</w:t>
      </w:r>
    </w:p>
    <w:p>
      <w:r>
        <w:t xml:space="preserve">concept demonstration of the product and interface, not official CGWB/IMD</w:t>
      </w:r>
    </w:p>
    <w:p>
      <w:r>
        <w:t xml:space="preserve">information, and no real financial transactions or SMS alerts occur.</w:t>
      </w:r>
    </w:p>
    <w:p>
      <w:r>
        <w:rPr>
          <w:b/>
        </w:rPr>
        <w:t xml:space="preserve">Keywords:</w:t>
      </w:r>
      <w:r>
        <w:t xml:space="preserve"> groundwater, early warning, AI prediction, Tamil Nadu, drought</w:t>
      </w:r>
    </w:p>
    <w:p>
      <w:r>
        <w:t xml:space="preserve">resilience, farmer advisory, credit risk, water governance</w:t>
      </w:r>
    </w:p>
    <w:sectPr>
      <w:pgSz w:w="12240" w:h="1584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before="240" w:after="240"/>
    </w:pPr>
    <w:rPr>
      <w:b/>
      <w:sz w:val="44"/>
      <w:szCs w:val="44"/>
    </w:rPr>
  </w:style>
  <w:style w:type="paragraph" w:styleId="Heading1">
    <w:name w:val="heading 1"/>
    <w:basedOn w:val="Normal"/>
    <w:pPr>
      <w:keepNext/>
      <w:spacing w:before="320" w:after="120"/>
    </w:pPr>
    <w:rPr>
      <w:b/>
      <w:sz w:val="32"/>
      <w:szCs w:val="32"/>
      <w:color w:val="0E7C86"/>
    </w:rPr>
  </w:style>
  <w:style w:type="paragraph" w:styleId="Heading2">
    <w:name w:val="heading 2"/>
    <w:basedOn w:val="Normal"/>
    <w:pPr>
      <w:keepNext/>
      <w:spacing w:before="240" w:after="100"/>
    </w:pPr>
    <w:rPr>
      <w:b/>
      <w:sz w:val="26"/>
      <w:szCs w:val="26"/>
      <w:color w:val="11576E"/>
    </w:rPr>
  </w:style>
  <w:style w:type="paragraph" w:styleId="Heading3">
    <w:name w:val="heading 3"/>
    <w:basedOn w:val="Normal"/>
    <w:pPr>
      <w:keepNext/>
      <w:spacing w:before="200" w:after="80"/>
    </w:pPr>
    <w:rPr>
      <w:b/>
      <w:sz w:val="23"/>
      <w:szCs w:val="23"/>
    </w:rPr>
  </w:style>
  <w:style w:type="paragraph" w:styleId="Heading4">
    <w:name w:val="heading 4"/>
    <w:basedOn w:val="Normal"/>
    <w:rPr>
      <w:b/>
      <w:sz w:val="21"/>
      <w:szCs w:val="21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