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80" w:type="dxa"/>
        <w:tblCellMar>
          <w:top w:w="15" w:type="dxa"/>
          <w:left w:w="15" w:type="dxa"/>
          <w:bottom w:w="15" w:type="dxa"/>
          <w:right w:w="15" w:type="dxa"/>
        </w:tblCellMar>
        <w:tblLook w:val="04A0" w:firstRow="1" w:lastRow="0" w:firstColumn="1" w:lastColumn="0" w:noHBand="0" w:noVBand="1"/>
      </w:tblPr>
      <w:tblGrid>
        <w:gridCol w:w="5540"/>
        <w:gridCol w:w="3311"/>
        <w:gridCol w:w="2429"/>
      </w:tblGrid>
      <w:tr w:rsidR="00EC789B" w:rsidRPr="00EC789B" w14:paraId="046B20E3" w14:textId="77777777">
        <w:trPr>
          <w:tblHeader/>
        </w:trPr>
        <w:tc>
          <w:tcPr>
            <w:tcW w:w="0" w:type="auto"/>
            <w:tcBorders>
              <w:top w:val="nil"/>
            </w:tcBorders>
            <w:tcMar>
              <w:top w:w="150" w:type="dxa"/>
              <w:left w:w="0" w:type="dxa"/>
              <w:bottom w:w="150" w:type="dxa"/>
              <w:right w:w="240" w:type="dxa"/>
            </w:tcMar>
            <w:vAlign w:val="center"/>
            <w:hideMark/>
          </w:tcPr>
          <w:p w14:paraId="428DBF3D" w14:textId="7C5170EA" w:rsidR="00EC789B" w:rsidRPr="00EC789B" w:rsidRDefault="00EC789B" w:rsidP="00EC789B">
            <w:pPr>
              <w:rPr>
                <w:rFonts w:ascii="Arial" w:hAnsi="Arial" w:cs="Arial"/>
              </w:rPr>
            </w:pPr>
            <w:r w:rsidRPr="00EC789B">
              <w:rPr>
                <w:rFonts w:ascii="Arial" w:hAnsi="Arial" w:cs="Arial"/>
                <w:i/>
                <w:iCs/>
              </w:rPr>
              <w:t>[</w:t>
            </w:r>
            <w:r w:rsidR="00387D11">
              <w:rPr>
                <w:rFonts w:ascii="Arial" w:hAnsi="Arial" w:cs="Arial"/>
                <w:i/>
                <w:iCs/>
              </w:rPr>
              <w:t xml:space="preserve">Bruced up </w:t>
            </w:r>
            <w:r w:rsidRPr="00EC789B">
              <w:rPr>
                <w:rFonts w:ascii="Arial" w:hAnsi="Arial" w:cs="Arial"/>
                <w:i/>
                <w:iCs/>
              </w:rPr>
              <w:t>Banner]</w:t>
            </w:r>
          </w:p>
        </w:tc>
        <w:tc>
          <w:tcPr>
            <w:tcW w:w="0" w:type="auto"/>
            <w:tcBorders>
              <w:top w:val="nil"/>
            </w:tcBorders>
            <w:tcMar>
              <w:top w:w="150" w:type="dxa"/>
              <w:left w:w="240" w:type="dxa"/>
              <w:bottom w:w="150" w:type="dxa"/>
              <w:right w:w="240" w:type="dxa"/>
            </w:tcMar>
            <w:vAlign w:val="center"/>
            <w:hideMark/>
          </w:tcPr>
          <w:p w14:paraId="52EE6F62" w14:textId="77777777" w:rsidR="00EC789B" w:rsidRPr="00EC789B" w:rsidRDefault="00EC789B" w:rsidP="00EC789B">
            <w:pPr>
              <w:rPr>
                <w:rFonts w:ascii="Arial" w:hAnsi="Arial" w:cs="Arial"/>
              </w:rPr>
            </w:pPr>
            <w:r w:rsidRPr="00EC789B">
              <w:rPr>
                <w:rFonts w:ascii="Arial" w:hAnsi="Arial" w:cs="Arial"/>
                <w:b/>
                <w:bCs/>
              </w:rPr>
              <w:t>Confidential Legal Review</w:t>
            </w:r>
          </w:p>
        </w:tc>
        <w:tc>
          <w:tcPr>
            <w:tcW w:w="0" w:type="auto"/>
            <w:tcBorders>
              <w:top w:val="nil"/>
            </w:tcBorders>
            <w:tcMar>
              <w:top w:w="150" w:type="dxa"/>
              <w:left w:w="240" w:type="dxa"/>
              <w:bottom w:w="150" w:type="dxa"/>
              <w:right w:w="240" w:type="dxa"/>
            </w:tcMar>
            <w:vAlign w:val="center"/>
            <w:hideMark/>
          </w:tcPr>
          <w:p w14:paraId="2033F5D8" w14:textId="77777777" w:rsidR="00EC789B" w:rsidRPr="00EC789B" w:rsidRDefault="00EC789B" w:rsidP="00EC789B">
            <w:pPr>
              <w:rPr>
                <w:rFonts w:ascii="Arial" w:hAnsi="Arial" w:cs="Arial"/>
              </w:rPr>
            </w:pPr>
            <w:r w:rsidRPr="00EC789B">
              <w:rPr>
                <w:rFonts w:ascii="Arial" w:hAnsi="Arial" w:cs="Arial"/>
                <w:b/>
                <w:bCs/>
              </w:rPr>
              <w:t>Date:</w:t>
            </w:r>
            <w:r w:rsidRPr="00EC789B">
              <w:rPr>
                <w:rFonts w:ascii="Arial" w:hAnsi="Arial" w:cs="Arial"/>
              </w:rPr>
              <w:t> 18 March 2026</w:t>
            </w:r>
          </w:p>
        </w:tc>
      </w:tr>
      <w:tr w:rsidR="00EC789B" w:rsidRPr="00EC789B" w14:paraId="287A9EE7" w14:textId="77777777">
        <w:tc>
          <w:tcPr>
            <w:tcW w:w="0" w:type="auto"/>
            <w:tcMar>
              <w:top w:w="150" w:type="dxa"/>
              <w:left w:w="0" w:type="dxa"/>
              <w:bottom w:w="150" w:type="dxa"/>
              <w:right w:w="240" w:type="dxa"/>
            </w:tcMar>
            <w:vAlign w:val="center"/>
            <w:hideMark/>
          </w:tcPr>
          <w:p w14:paraId="1CD94789" w14:textId="77777777" w:rsidR="00EC789B" w:rsidRPr="00EC789B" w:rsidRDefault="00EC789B" w:rsidP="00EC789B">
            <w:pPr>
              <w:rPr>
                <w:rFonts w:ascii="Arial" w:hAnsi="Arial" w:cs="Arial"/>
              </w:rPr>
            </w:pPr>
            <w:r w:rsidRPr="00EC789B">
              <w:rPr>
                <w:rFonts w:ascii="Arial" w:hAnsi="Arial" w:cs="Arial"/>
                <w:b/>
                <w:bCs/>
              </w:rPr>
              <w:t>To:</w:t>
            </w:r>
            <w:r w:rsidRPr="00EC789B">
              <w:rPr>
                <w:rFonts w:ascii="Arial" w:hAnsi="Arial" w:cs="Arial"/>
              </w:rPr>
              <w:t> Eskom Holdings SOC Ltd – Supply Chain Management</w:t>
            </w:r>
          </w:p>
        </w:tc>
        <w:tc>
          <w:tcPr>
            <w:tcW w:w="0" w:type="auto"/>
            <w:tcMar>
              <w:top w:w="150" w:type="dxa"/>
              <w:left w:w="240" w:type="dxa"/>
              <w:bottom w:w="150" w:type="dxa"/>
              <w:right w:w="240" w:type="dxa"/>
            </w:tcMar>
            <w:vAlign w:val="center"/>
            <w:hideMark/>
          </w:tcPr>
          <w:p w14:paraId="569A068B" w14:textId="77777777" w:rsidR="00EC789B" w:rsidRPr="00EC789B" w:rsidRDefault="00EC789B" w:rsidP="00EC789B">
            <w:pPr>
              <w:rPr>
                <w:rFonts w:ascii="Arial" w:hAnsi="Arial" w:cs="Arial"/>
              </w:rPr>
            </w:pPr>
            <w:r w:rsidRPr="00EC789B">
              <w:rPr>
                <w:rFonts w:ascii="Arial" w:hAnsi="Arial" w:cs="Arial"/>
                <w:b/>
                <w:bCs/>
              </w:rPr>
              <w:t>From:</w:t>
            </w:r>
            <w:r w:rsidRPr="00EC789B">
              <w:rPr>
                <w:rFonts w:ascii="Arial" w:hAnsi="Arial" w:cs="Arial"/>
              </w:rPr>
              <w:t> BowmanGilfillan Inc.</w:t>
            </w:r>
          </w:p>
        </w:tc>
        <w:tc>
          <w:tcPr>
            <w:tcW w:w="0" w:type="auto"/>
            <w:tcMar>
              <w:top w:w="150" w:type="dxa"/>
              <w:left w:w="240" w:type="dxa"/>
              <w:bottom w:w="150" w:type="dxa"/>
              <w:right w:w="0" w:type="dxa"/>
            </w:tcMar>
            <w:vAlign w:val="center"/>
            <w:hideMark/>
          </w:tcPr>
          <w:p w14:paraId="6DF9F00A" w14:textId="77777777" w:rsidR="00EC789B" w:rsidRPr="00EC789B" w:rsidRDefault="00EC789B" w:rsidP="00EC789B">
            <w:pPr>
              <w:rPr>
                <w:rFonts w:ascii="Arial" w:hAnsi="Arial" w:cs="Arial"/>
              </w:rPr>
            </w:pPr>
          </w:p>
        </w:tc>
      </w:tr>
      <w:tr w:rsidR="00EC789B" w:rsidRPr="00EC789B" w14:paraId="284B3C39" w14:textId="77777777">
        <w:tc>
          <w:tcPr>
            <w:tcW w:w="0" w:type="auto"/>
            <w:tcMar>
              <w:top w:w="150" w:type="dxa"/>
              <w:left w:w="0" w:type="dxa"/>
              <w:bottom w:w="150" w:type="dxa"/>
              <w:right w:w="240" w:type="dxa"/>
            </w:tcMar>
            <w:vAlign w:val="center"/>
            <w:hideMark/>
          </w:tcPr>
          <w:p w14:paraId="032ED3B8" w14:textId="77777777" w:rsidR="00EC789B" w:rsidRPr="00EC789B" w:rsidRDefault="00EC789B" w:rsidP="00EC789B">
            <w:pPr>
              <w:rPr>
                <w:rFonts w:ascii="Arial" w:hAnsi="Arial" w:cs="Arial"/>
              </w:rPr>
            </w:pPr>
            <w:r w:rsidRPr="00EC789B">
              <w:rPr>
                <w:rFonts w:ascii="Arial" w:hAnsi="Arial" w:cs="Arial"/>
                <w:b/>
                <w:bCs/>
              </w:rPr>
              <w:t>Ref:</w:t>
            </w:r>
            <w:r w:rsidRPr="00EC789B">
              <w:rPr>
                <w:rFonts w:ascii="Arial" w:hAnsi="Arial" w:cs="Arial"/>
              </w:rPr>
              <w:t> ESK-PPA-2026-042 / Legal Risk Assessment</w:t>
            </w:r>
          </w:p>
        </w:tc>
        <w:tc>
          <w:tcPr>
            <w:tcW w:w="0" w:type="auto"/>
            <w:tcMar>
              <w:top w:w="150" w:type="dxa"/>
              <w:left w:w="240" w:type="dxa"/>
              <w:bottom w:w="150" w:type="dxa"/>
              <w:right w:w="240" w:type="dxa"/>
            </w:tcMar>
            <w:vAlign w:val="center"/>
            <w:hideMark/>
          </w:tcPr>
          <w:p w14:paraId="367CFE7B" w14:textId="77777777" w:rsidR="00EC789B" w:rsidRPr="00EC789B" w:rsidRDefault="00EC789B" w:rsidP="00EC789B">
            <w:pPr>
              <w:rPr>
                <w:rFonts w:ascii="Arial" w:hAnsi="Arial" w:cs="Arial"/>
              </w:rPr>
            </w:pPr>
            <w:r w:rsidRPr="00EC789B">
              <w:rPr>
                <w:rFonts w:ascii="Arial" w:hAnsi="Arial" w:cs="Arial"/>
                <w:b/>
                <w:bCs/>
              </w:rPr>
              <w:t>Reviewer:</w:t>
            </w:r>
            <w:r w:rsidRPr="00EC789B">
              <w:rPr>
                <w:rFonts w:ascii="Arial" w:hAnsi="Arial" w:cs="Arial"/>
              </w:rPr>
              <w:t> S. Ndlovu, Partner</w:t>
            </w:r>
          </w:p>
        </w:tc>
        <w:tc>
          <w:tcPr>
            <w:tcW w:w="0" w:type="auto"/>
            <w:tcMar>
              <w:top w:w="150" w:type="dxa"/>
              <w:left w:w="240" w:type="dxa"/>
              <w:bottom w:w="150" w:type="dxa"/>
              <w:right w:w="0" w:type="dxa"/>
            </w:tcMar>
            <w:vAlign w:val="center"/>
            <w:hideMark/>
          </w:tcPr>
          <w:p w14:paraId="743B76D8" w14:textId="77777777" w:rsidR="00EC789B" w:rsidRPr="00EC789B" w:rsidRDefault="00EC789B" w:rsidP="00EC789B">
            <w:pPr>
              <w:rPr>
                <w:rFonts w:ascii="Arial" w:hAnsi="Arial" w:cs="Arial"/>
              </w:rPr>
            </w:pPr>
          </w:p>
        </w:tc>
      </w:tr>
    </w:tbl>
    <w:p w14:paraId="69522501" w14:textId="77777777" w:rsidR="00EC789B" w:rsidRPr="00EC789B" w:rsidRDefault="00000000" w:rsidP="00EC789B">
      <w:pPr>
        <w:rPr>
          <w:rFonts w:ascii="Arial" w:hAnsi="Arial" w:cs="Arial"/>
        </w:rPr>
      </w:pPr>
      <w:r>
        <w:rPr>
          <w:rFonts w:ascii="Arial" w:hAnsi="Arial" w:cs="Arial"/>
        </w:rPr>
        <w:pict w14:anchorId="4DBED47E">
          <v:rect id="_x0000_i1025" style="width:0;height:.75pt" o:hralign="center" o:hrstd="t" o:hr="t" fillcolor="#a0a0a0" stroked="f"/>
        </w:pict>
      </w:r>
    </w:p>
    <w:p w14:paraId="0F629073" w14:textId="77777777" w:rsidR="00EC789B" w:rsidRPr="00EC789B" w:rsidRDefault="00EC789B" w:rsidP="00EC789B">
      <w:pPr>
        <w:rPr>
          <w:rFonts w:ascii="Arial" w:hAnsi="Arial" w:cs="Arial"/>
          <w:b/>
          <w:bCs/>
        </w:rPr>
      </w:pPr>
      <w:r w:rsidRPr="00EC789B">
        <w:rPr>
          <w:rFonts w:ascii="Arial" w:hAnsi="Arial" w:cs="Arial"/>
          <w:b/>
          <w:bCs/>
        </w:rPr>
        <w:t>1. DOCUMENT REVIEWED</w:t>
      </w:r>
    </w:p>
    <w:p w14:paraId="534C53A2" w14:textId="77777777" w:rsidR="00EC789B" w:rsidRPr="00EC789B" w:rsidRDefault="00EC789B" w:rsidP="00EC789B">
      <w:pPr>
        <w:rPr>
          <w:rFonts w:ascii="Arial" w:hAnsi="Arial" w:cs="Arial"/>
        </w:rPr>
      </w:pPr>
      <w:r w:rsidRPr="00EC789B">
        <w:rPr>
          <w:rFonts w:ascii="Arial" w:hAnsi="Arial" w:cs="Arial"/>
          <w:b/>
          <w:bCs/>
        </w:rPr>
        <w:t>Document Title:</w:t>
      </w:r>
      <w:r w:rsidRPr="00EC789B">
        <w:rPr>
          <w:rFonts w:ascii="Arial" w:hAnsi="Arial" w:cs="Arial"/>
        </w:rPr>
        <w:t> Power Purchase Agreement (PPA) – 200MW Solar Facility</w:t>
      </w:r>
      <w:r w:rsidRPr="00EC789B">
        <w:rPr>
          <w:rFonts w:ascii="Arial" w:hAnsi="Arial" w:cs="Arial"/>
        </w:rPr>
        <w:br/>
      </w:r>
      <w:r w:rsidRPr="00EC789B">
        <w:rPr>
          <w:rFonts w:ascii="Arial" w:hAnsi="Arial" w:cs="Arial"/>
          <w:b/>
          <w:bCs/>
        </w:rPr>
        <w:t>Parties:</w:t>
      </w:r>
      <w:r w:rsidRPr="00EC789B">
        <w:rPr>
          <w:rFonts w:ascii="Arial" w:hAnsi="Arial" w:cs="Arial"/>
        </w:rPr>
        <w:t> Eskom Holdings SOC Ltd (“Purchaser”) vs. SolAfrica IPP (Pty) Ltd (“Supplier”)</w:t>
      </w:r>
      <w:r w:rsidRPr="00EC789B">
        <w:rPr>
          <w:rFonts w:ascii="Arial" w:hAnsi="Arial" w:cs="Arial"/>
        </w:rPr>
        <w:br/>
      </w:r>
      <w:r w:rsidRPr="00EC789B">
        <w:rPr>
          <w:rFonts w:ascii="Arial" w:hAnsi="Arial" w:cs="Arial"/>
          <w:b/>
          <w:bCs/>
        </w:rPr>
        <w:t>Version:</w:t>
      </w:r>
      <w:r w:rsidRPr="00EC789B">
        <w:rPr>
          <w:rFonts w:ascii="Arial" w:hAnsi="Arial" w:cs="Arial"/>
        </w:rPr>
        <w:t> Draft 4 (Received 15 March 2026)</w:t>
      </w:r>
    </w:p>
    <w:p w14:paraId="32314F1C" w14:textId="77777777" w:rsidR="00EC789B" w:rsidRPr="00EC789B" w:rsidRDefault="00000000" w:rsidP="00EC789B">
      <w:pPr>
        <w:rPr>
          <w:rFonts w:ascii="Arial" w:hAnsi="Arial" w:cs="Arial"/>
        </w:rPr>
      </w:pPr>
      <w:r>
        <w:rPr>
          <w:rFonts w:ascii="Arial" w:hAnsi="Arial" w:cs="Arial"/>
        </w:rPr>
        <w:pict w14:anchorId="2CEABD24">
          <v:rect id="_x0000_i1026" style="width:0;height:.75pt" o:hralign="center" o:hrstd="t" o:hr="t" fillcolor="#a0a0a0" stroked="f"/>
        </w:pict>
      </w:r>
    </w:p>
    <w:p w14:paraId="28B4B62C" w14:textId="77777777" w:rsidR="00EC789B" w:rsidRPr="00EC789B" w:rsidRDefault="00EC789B" w:rsidP="00EC789B">
      <w:pPr>
        <w:rPr>
          <w:rFonts w:ascii="Arial" w:hAnsi="Arial" w:cs="Arial"/>
          <w:b/>
          <w:bCs/>
        </w:rPr>
      </w:pPr>
      <w:r w:rsidRPr="00EC789B">
        <w:rPr>
          <w:rFonts w:ascii="Arial" w:hAnsi="Arial" w:cs="Arial"/>
          <w:b/>
          <w:bCs/>
        </w:rPr>
        <w:t>2. EXECUTIVE SUMMARY (High Risk)</w:t>
      </w:r>
    </w:p>
    <w:p w14:paraId="37BD7706" w14:textId="77777777" w:rsidR="00EC789B" w:rsidRPr="00EC789B" w:rsidRDefault="00EC789B" w:rsidP="00EC789B">
      <w:pPr>
        <w:rPr>
          <w:rFonts w:ascii="Arial" w:hAnsi="Arial" w:cs="Arial"/>
        </w:rPr>
      </w:pPr>
      <w:r w:rsidRPr="00EC789B">
        <w:rPr>
          <w:rFonts w:ascii="Arial" w:hAnsi="Arial" w:cs="Arial"/>
        </w:rPr>
        <w:t>This PPA contains </w:t>
      </w:r>
      <w:r w:rsidRPr="00EC789B">
        <w:rPr>
          <w:rFonts w:ascii="Arial" w:hAnsi="Arial" w:cs="Arial"/>
          <w:b/>
          <w:bCs/>
        </w:rPr>
        <w:t>3 high-risk clauses</w:t>
      </w:r>
      <w:r w:rsidRPr="00EC789B">
        <w:rPr>
          <w:rFonts w:ascii="Arial" w:hAnsi="Arial" w:cs="Arial"/>
        </w:rPr>
        <w:t> (Tariff adjustment, Force Majeure limitation, Governing law) and </w:t>
      </w:r>
      <w:r w:rsidRPr="00EC789B">
        <w:rPr>
          <w:rFonts w:ascii="Arial" w:hAnsi="Arial" w:cs="Arial"/>
          <w:b/>
          <w:bCs/>
        </w:rPr>
        <w:t>7 medium-risk issues</w:t>
      </w:r>
      <w:r w:rsidRPr="00EC789B">
        <w:rPr>
          <w:rFonts w:ascii="Arial" w:hAnsi="Arial" w:cs="Arial"/>
        </w:rPr>
        <w:t>. Eskom must </w:t>
      </w:r>
      <w:r w:rsidRPr="00EC789B">
        <w:rPr>
          <w:rFonts w:ascii="Arial" w:hAnsi="Arial" w:cs="Arial"/>
          <w:b/>
          <w:bCs/>
        </w:rPr>
        <w:t>not sign</w:t>
      </w:r>
      <w:r w:rsidRPr="00EC789B">
        <w:rPr>
          <w:rFonts w:ascii="Arial" w:hAnsi="Arial" w:cs="Arial"/>
        </w:rPr>
        <w:t> without the amendments proposed below. The most critical exposure is the </w:t>
      </w:r>
      <w:r w:rsidRPr="00EC789B">
        <w:rPr>
          <w:rFonts w:ascii="Arial" w:hAnsi="Arial" w:cs="Arial"/>
          <w:b/>
          <w:bCs/>
        </w:rPr>
        <w:t>unlimited liability</w:t>
      </w:r>
      <w:r w:rsidRPr="00EC789B">
        <w:rPr>
          <w:rFonts w:ascii="Arial" w:hAnsi="Arial" w:cs="Arial"/>
        </w:rPr>
        <w:t> for grid curtailment delays.</w:t>
      </w:r>
    </w:p>
    <w:p w14:paraId="7A8BEE21" w14:textId="77777777" w:rsidR="00EC789B" w:rsidRPr="00EC789B" w:rsidRDefault="00000000" w:rsidP="00EC789B">
      <w:pPr>
        <w:rPr>
          <w:rFonts w:ascii="Arial" w:hAnsi="Arial" w:cs="Arial"/>
        </w:rPr>
      </w:pPr>
      <w:r>
        <w:rPr>
          <w:rFonts w:ascii="Arial" w:hAnsi="Arial" w:cs="Arial"/>
        </w:rPr>
        <w:pict w14:anchorId="4466DFFA">
          <v:rect id="_x0000_i1027" style="width:0;height:.75pt" o:hralign="center" o:hrstd="t" o:hr="t" fillcolor="#a0a0a0" stroked="f"/>
        </w:pict>
      </w:r>
    </w:p>
    <w:p w14:paraId="653B56BB" w14:textId="77777777" w:rsidR="00EC789B" w:rsidRPr="00EC789B" w:rsidRDefault="00EC789B" w:rsidP="00EC789B">
      <w:pPr>
        <w:rPr>
          <w:rFonts w:ascii="Arial" w:hAnsi="Arial" w:cs="Arial"/>
          <w:b/>
          <w:bCs/>
        </w:rPr>
      </w:pPr>
      <w:r w:rsidRPr="00EC789B">
        <w:rPr>
          <w:rFonts w:ascii="Arial" w:hAnsi="Arial" w:cs="Arial"/>
          <w:b/>
          <w:bCs/>
        </w:rPr>
        <w:t>3. CLAUSE-BY-CLAUSE REVIEW (Law firm format)</w:t>
      </w:r>
    </w:p>
    <w:p w14:paraId="307B2FC2" w14:textId="77777777" w:rsidR="00EC789B" w:rsidRPr="00EC789B" w:rsidRDefault="00EC789B" w:rsidP="00EC789B">
      <w:pPr>
        <w:rPr>
          <w:rFonts w:ascii="Arial" w:hAnsi="Arial" w:cs="Arial"/>
          <w:b/>
          <w:bCs/>
        </w:rPr>
      </w:pPr>
      <w:r w:rsidRPr="00EC789B">
        <w:rPr>
          <w:rFonts w:ascii="Arial" w:hAnsi="Arial" w:cs="Arial"/>
          <w:b/>
          <w:bCs/>
        </w:rPr>
        <w:t>Clause 6 – Tariff &amp; Payment Terms (High Risk)</w:t>
      </w:r>
    </w:p>
    <w:p w14:paraId="00E3E791" w14:textId="77777777" w:rsidR="00EC789B" w:rsidRPr="00EC789B" w:rsidRDefault="00EC789B" w:rsidP="00EC789B">
      <w:pPr>
        <w:rPr>
          <w:rFonts w:ascii="Arial" w:hAnsi="Arial" w:cs="Arial"/>
        </w:rPr>
      </w:pPr>
      <w:r w:rsidRPr="00EC789B">
        <w:rPr>
          <w:rFonts w:ascii="Arial" w:hAnsi="Arial" w:cs="Arial"/>
          <w:b/>
          <w:bCs/>
        </w:rPr>
        <w:t>Original text:</w:t>
      </w:r>
    </w:p>
    <w:p w14:paraId="42376118" w14:textId="77777777" w:rsidR="00EC789B" w:rsidRPr="00EC789B" w:rsidRDefault="00EC789B" w:rsidP="00EC789B">
      <w:pPr>
        <w:rPr>
          <w:rFonts w:ascii="Arial" w:hAnsi="Arial" w:cs="Arial"/>
        </w:rPr>
      </w:pPr>
      <w:r w:rsidRPr="00EC789B">
        <w:rPr>
          <w:rFonts w:ascii="Arial" w:hAnsi="Arial" w:cs="Arial"/>
        </w:rPr>
        <w:t>*“The fixed tariff of ZAR 1,250/MWh shall escalate annually at the greater of CPI + 3% or the prime lending rate of ABSA Bank.”*</w:t>
      </w:r>
    </w:p>
    <w:p w14:paraId="6194B121" w14:textId="77777777" w:rsidR="00EC789B" w:rsidRPr="00EC789B" w:rsidRDefault="00EC789B" w:rsidP="00EC789B">
      <w:pPr>
        <w:rPr>
          <w:rFonts w:ascii="Arial" w:hAnsi="Arial" w:cs="Arial"/>
        </w:rPr>
      </w:pPr>
      <w:r w:rsidRPr="00EC789B">
        <w:rPr>
          <w:rFonts w:ascii="Arial" w:hAnsi="Arial" w:cs="Arial"/>
          <w:b/>
          <w:bCs/>
        </w:rPr>
        <w:t>Review comment:</w:t>
      </w:r>
      <w:r w:rsidRPr="00EC789B">
        <w:rPr>
          <w:rFonts w:ascii="Arial" w:hAnsi="Arial" w:cs="Arial"/>
        </w:rPr>
        <w:br/>
      </w:r>
      <w:r w:rsidRPr="00EC789B">
        <w:rPr>
          <w:rFonts w:ascii="Segoe UI Emoji" w:hAnsi="Segoe UI Emoji" w:cs="Segoe UI Emoji"/>
        </w:rPr>
        <w:t>🔴</w:t>
      </w:r>
      <w:r w:rsidRPr="00EC789B">
        <w:rPr>
          <w:rFonts w:ascii="Arial" w:hAnsi="Arial" w:cs="Arial"/>
        </w:rPr>
        <w:t> </w:t>
      </w:r>
      <w:r w:rsidRPr="00EC789B">
        <w:rPr>
          <w:rFonts w:ascii="Arial" w:hAnsi="Arial" w:cs="Arial"/>
          <w:b/>
          <w:bCs/>
        </w:rPr>
        <w:t>Reject.</w:t>
      </w:r>
      <w:r w:rsidRPr="00EC789B">
        <w:rPr>
          <w:rFonts w:ascii="Arial" w:hAnsi="Arial" w:cs="Arial"/>
        </w:rPr>
        <w:t> This creates financial exposure exceeding Eskom’s Board-approved ceiling. CPI + 2% is the maximum permissible under Eskom’s borrowing covenants.</w:t>
      </w:r>
    </w:p>
    <w:p w14:paraId="205C3B5F" w14:textId="77777777" w:rsidR="00EC789B" w:rsidRPr="00EC789B" w:rsidRDefault="00EC789B" w:rsidP="00EC789B">
      <w:pPr>
        <w:rPr>
          <w:rFonts w:ascii="Arial" w:hAnsi="Arial" w:cs="Arial"/>
        </w:rPr>
      </w:pPr>
      <w:r w:rsidRPr="00EC789B">
        <w:rPr>
          <w:rFonts w:ascii="Arial" w:hAnsi="Arial" w:cs="Arial"/>
          <w:b/>
          <w:bCs/>
        </w:rPr>
        <w:t>Proposed redraft:</w:t>
      </w:r>
    </w:p>
    <w:p w14:paraId="0D5E7312" w14:textId="77777777" w:rsidR="00EC789B" w:rsidRPr="00EC789B" w:rsidRDefault="00EC789B" w:rsidP="00EC789B">
      <w:pPr>
        <w:rPr>
          <w:rFonts w:ascii="Arial" w:hAnsi="Arial" w:cs="Arial"/>
        </w:rPr>
      </w:pPr>
      <w:r w:rsidRPr="00EC789B">
        <w:rPr>
          <w:rFonts w:ascii="Arial" w:hAnsi="Arial" w:cs="Arial"/>
        </w:rPr>
        <w:t>~~CPI + 3% or prime rate of ABSA~~ → </w:t>
      </w:r>
      <w:r w:rsidRPr="00EC789B">
        <w:rPr>
          <w:rFonts w:ascii="Arial" w:hAnsi="Arial" w:cs="Arial"/>
          <w:b/>
          <w:bCs/>
        </w:rPr>
        <w:t>CPI + 2% (capped at 7% per annum)</w:t>
      </w:r>
    </w:p>
    <w:p w14:paraId="7B713EEB" w14:textId="77777777" w:rsidR="00EC789B" w:rsidRPr="00EC789B" w:rsidRDefault="00000000" w:rsidP="00EC789B">
      <w:pPr>
        <w:rPr>
          <w:rFonts w:ascii="Arial" w:hAnsi="Arial" w:cs="Arial"/>
        </w:rPr>
      </w:pPr>
      <w:r>
        <w:rPr>
          <w:rFonts w:ascii="Arial" w:hAnsi="Arial" w:cs="Arial"/>
        </w:rPr>
        <w:pict w14:anchorId="39AB41C1">
          <v:rect id="_x0000_i1028" style="width:0;height:.75pt" o:hralign="center" o:hrstd="t" o:hr="t" fillcolor="#a0a0a0" stroked="f"/>
        </w:pict>
      </w:r>
    </w:p>
    <w:p w14:paraId="4287C537" w14:textId="77777777" w:rsidR="00EC789B" w:rsidRPr="00EC789B" w:rsidRDefault="00EC789B" w:rsidP="00EC789B">
      <w:pPr>
        <w:rPr>
          <w:rFonts w:ascii="Arial" w:hAnsi="Arial" w:cs="Arial"/>
          <w:b/>
          <w:bCs/>
        </w:rPr>
      </w:pPr>
      <w:r w:rsidRPr="00EC789B">
        <w:rPr>
          <w:rFonts w:ascii="Arial" w:hAnsi="Arial" w:cs="Arial"/>
          <w:b/>
          <w:bCs/>
        </w:rPr>
        <w:t>Clause 14 – Force Majeure (Medium Risk)</w:t>
      </w:r>
    </w:p>
    <w:p w14:paraId="6DA5B4F5" w14:textId="77777777" w:rsidR="00EC789B" w:rsidRPr="00EC789B" w:rsidRDefault="00EC789B" w:rsidP="00EC789B">
      <w:pPr>
        <w:rPr>
          <w:rFonts w:ascii="Arial" w:hAnsi="Arial" w:cs="Arial"/>
        </w:rPr>
      </w:pPr>
      <w:r w:rsidRPr="00EC789B">
        <w:rPr>
          <w:rFonts w:ascii="Arial" w:hAnsi="Arial" w:cs="Arial"/>
          <w:b/>
          <w:bCs/>
        </w:rPr>
        <w:t>Original text:</w:t>
      </w:r>
    </w:p>
    <w:p w14:paraId="091BFD04" w14:textId="77777777" w:rsidR="00EC789B" w:rsidRPr="00EC789B" w:rsidRDefault="00EC789B" w:rsidP="00EC789B">
      <w:pPr>
        <w:rPr>
          <w:rFonts w:ascii="Arial" w:hAnsi="Arial" w:cs="Arial"/>
        </w:rPr>
      </w:pPr>
      <w:r w:rsidRPr="00EC789B">
        <w:rPr>
          <w:rFonts w:ascii="Arial" w:hAnsi="Arial" w:cs="Arial"/>
          <w:i/>
          <w:iCs/>
        </w:rPr>
        <w:t>“Load shedding or grid instability shall not constitute force majeure.”</w:t>
      </w:r>
    </w:p>
    <w:p w14:paraId="11C6260C" w14:textId="77777777" w:rsidR="00EC789B" w:rsidRPr="00EC789B" w:rsidRDefault="00EC789B" w:rsidP="00EC789B">
      <w:pPr>
        <w:rPr>
          <w:rFonts w:ascii="Arial" w:hAnsi="Arial" w:cs="Arial"/>
        </w:rPr>
      </w:pPr>
      <w:r w:rsidRPr="00EC789B">
        <w:rPr>
          <w:rFonts w:ascii="Arial" w:hAnsi="Arial" w:cs="Arial"/>
          <w:b/>
          <w:bCs/>
        </w:rPr>
        <w:t>Review comment:</w:t>
      </w:r>
      <w:r w:rsidRPr="00EC789B">
        <w:rPr>
          <w:rFonts w:ascii="Arial" w:hAnsi="Arial" w:cs="Arial"/>
        </w:rPr>
        <w:br/>
      </w:r>
      <w:r w:rsidRPr="00EC789B">
        <w:rPr>
          <w:rFonts w:ascii="Segoe UI Emoji" w:hAnsi="Segoe UI Emoji" w:cs="Segoe UI Emoji"/>
        </w:rPr>
        <w:t>🟡</w:t>
      </w:r>
      <w:r w:rsidRPr="00EC789B">
        <w:rPr>
          <w:rFonts w:ascii="Arial" w:hAnsi="Arial" w:cs="Arial"/>
        </w:rPr>
        <w:t> </w:t>
      </w:r>
      <w:r w:rsidRPr="00EC789B">
        <w:rPr>
          <w:rFonts w:ascii="Arial" w:hAnsi="Arial" w:cs="Arial"/>
          <w:b/>
          <w:bCs/>
        </w:rPr>
        <w:t>Risk – amend.</w:t>
      </w:r>
      <w:r w:rsidRPr="00EC789B">
        <w:rPr>
          <w:rFonts w:ascii="Arial" w:hAnsi="Arial" w:cs="Arial"/>
        </w:rPr>
        <w:t> Eskom cannot accept a clause that penalizes it for grid failures caused by third parties (e.g., lack of transmission from NERSA).</w:t>
      </w:r>
    </w:p>
    <w:p w14:paraId="79AE588C" w14:textId="77777777" w:rsidR="00EC789B" w:rsidRPr="00EC789B" w:rsidRDefault="00EC789B" w:rsidP="00EC789B">
      <w:pPr>
        <w:rPr>
          <w:rFonts w:ascii="Arial" w:hAnsi="Arial" w:cs="Arial"/>
        </w:rPr>
      </w:pPr>
      <w:r w:rsidRPr="00EC789B">
        <w:rPr>
          <w:rFonts w:ascii="Arial" w:hAnsi="Arial" w:cs="Arial"/>
          <w:b/>
          <w:bCs/>
        </w:rPr>
        <w:lastRenderedPageBreak/>
        <w:t>Proposed addition (underlined):</w:t>
      </w:r>
    </w:p>
    <w:p w14:paraId="3087E9EC" w14:textId="77777777" w:rsidR="00EC789B" w:rsidRPr="00EC789B" w:rsidRDefault="00EC789B" w:rsidP="00EC789B">
      <w:pPr>
        <w:rPr>
          <w:rFonts w:ascii="Arial" w:hAnsi="Arial" w:cs="Arial"/>
        </w:rPr>
      </w:pPr>
      <w:r w:rsidRPr="00EC789B">
        <w:rPr>
          <w:rFonts w:ascii="Arial" w:hAnsi="Arial" w:cs="Arial"/>
          <w:i/>
          <w:iCs/>
        </w:rPr>
        <w:t>“Load shedding or grid instability shall not constitute force majeure </w:t>
      </w:r>
      <w:r w:rsidRPr="00EC789B">
        <w:rPr>
          <w:rFonts w:ascii="Arial" w:hAnsi="Arial" w:cs="Arial"/>
          <w:b/>
          <w:bCs/>
          <w:i/>
          <w:iCs/>
        </w:rPr>
        <w:t>unless directly caused by the Supplier’s failure to comply with Grid Code section 12.</w:t>
      </w:r>
      <w:r w:rsidRPr="00EC789B">
        <w:rPr>
          <w:rFonts w:ascii="Arial" w:hAnsi="Arial" w:cs="Arial"/>
          <w:i/>
          <w:iCs/>
        </w:rPr>
        <w:t>”</w:t>
      </w:r>
    </w:p>
    <w:p w14:paraId="6925CE56" w14:textId="77777777" w:rsidR="00EC789B" w:rsidRPr="00EC789B" w:rsidRDefault="00000000" w:rsidP="00EC789B">
      <w:pPr>
        <w:rPr>
          <w:rFonts w:ascii="Arial" w:hAnsi="Arial" w:cs="Arial"/>
        </w:rPr>
      </w:pPr>
      <w:r>
        <w:rPr>
          <w:rFonts w:ascii="Arial" w:hAnsi="Arial" w:cs="Arial"/>
        </w:rPr>
        <w:pict w14:anchorId="7A064AF9">
          <v:rect id="_x0000_i1029" style="width:0;height:.75pt" o:hralign="center" o:hrstd="t" o:hr="t" fillcolor="#a0a0a0" stroked="f"/>
        </w:pict>
      </w:r>
    </w:p>
    <w:p w14:paraId="6A699DA5" w14:textId="77777777" w:rsidR="00EC789B" w:rsidRPr="00EC789B" w:rsidRDefault="00EC789B" w:rsidP="00EC789B">
      <w:pPr>
        <w:rPr>
          <w:rFonts w:ascii="Arial" w:hAnsi="Arial" w:cs="Arial"/>
          <w:b/>
          <w:bCs/>
        </w:rPr>
      </w:pPr>
      <w:r w:rsidRPr="00EC789B">
        <w:rPr>
          <w:rFonts w:ascii="Arial" w:hAnsi="Arial" w:cs="Arial"/>
          <w:b/>
          <w:bCs/>
        </w:rPr>
        <w:t>Clause 23 – Governing Law &amp; Dispute Resolution (High Risk – Marked Change)</w:t>
      </w:r>
    </w:p>
    <w:tbl>
      <w:tblPr>
        <w:tblW w:w="11280" w:type="dxa"/>
        <w:tblCellMar>
          <w:top w:w="15" w:type="dxa"/>
          <w:left w:w="15" w:type="dxa"/>
          <w:bottom w:w="15" w:type="dxa"/>
          <w:right w:w="15" w:type="dxa"/>
        </w:tblCellMar>
        <w:tblLook w:val="04A0" w:firstRow="1" w:lastRow="0" w:firstColumn="1" w:lastColumn="0" w:noHBand="0" w:noVBand="1"/>
      </w:tblPr>
      <w:tblGrid>
        <w:gridCol w:w="4836"/>
        <w:gridCol w:w="6444"/>
      </w:tblGrid>
      <w:tr w:rsidR="00EC789B" w:rsidRPr="00EC789B" w14:paraId="6C7CAFBF" w14:textId="77777777">
        <w:trPr>
          <w:tblHeader/>
        </w:trPr>
        <w:tc>
          <w:tcPr>
            <w:tcW w:w="0" w:type="auto"/>
            <w:tcBorders>
              <w:top w:val="nil"/>
            </w:tcBorders>
            <w:tcMar>
              <w:top w:w="150" w:type="dxa"/>
              <w:left w:w="0" w:type="dxa"/>
              <w:bottom w:w="150" w:type="dxa"/>
              <w:right w:w="240" w:type="dxa"/>
            </w:tcMar>
            <w:vAlign w:val="center"/>
            <w:hideMark/>
          </w:tcPr>
          <w:p w14:paraId="70D1AC10" w14:textId="77777777" w:rsidR="00EC789B" w:rsidRPr="00EC789B" w:rsidRDefault="00EC789B" w:rsidP="00EC789B">
            <w:pPr>
              <w:rPr>
                <w:rFonts w:ascii="Arial" w:hAnsi="Arial" w:cs="Arial"/>
              </w:rPr>
            </w:pPr>
            <w:r w:rsidRPr="00EC789B">
              <w:rPr>
                <w:rFonts w:ascii="Arial" w:hAnsi="Arial" w:cs="Arial"/>
              </w:rPr>
              <w:t>Original</w:t>
            </w:r>
          </w:p>
        </w:tc>
        <w:tc>
          <w:tcPr>
            <w:tcW w:w="0" w:type="auto"/>
            <w:tcBorders>
              <w:top w:val="nil"/>
            </w:tcBorders>
            <w:tcMar>
              <w:top w:w="150" w:type="dxa"/>
              <w:left w:w="240" w:type="dxa"/>
              <w:bottom w:w="150" w:type="dxa"/>
              <w:right w:w="240" w:type="dxa"/>
            </w:tcMar>
            <w:vAlign w:val="center"/>
            <w:hideMark/>
          </w:tcPr>
          <w:p w14:paraId="36C2DBF2" w14:textId="77777777" w:rsidR="00EC789B" w:rsidRPr="00EC789B" w:rsidRDefault="00EC789B" w:rsidP="00EC789B">
            <w:pPr>
              <w:rPr>
                <w:rFonts w:ascii="Arial" w:hAnsi="Arial" w:cs="Arial"/>
              </w:rPr>
            </w:pPr>
            <w:r w:rsidRPr="00EC789B">
              <w:rPr>
                <w:rFonts w:ascii="Arial" w:hAnsi="Arial" w:cs="Arial"/>
              </w:rPr>
              <w:t>Proposed</w:t>
            </w:r>
          </w:p>
        </w:tc>
      </w:tr>
      <w:tr w:rsidR="00EC789B" w:rsidRPr="00EC789B" w14:paraId="4E98AB39" w14:textId="77777777">
        <w:tc>
          <w:tcPr>
            <w:tcW w:w="0" w:type="auto"/>
            <w:tcMar>
              <w:top w:w="150" w:type="dxa"/>
              <w:left w:w="0" w:type="dxa"/>
              <w:bottom w:w="150" w:type="dxa"/>
              <w:right w:w="240" w:type="dxa"/>
            </w:tcMar>
            <w:vAlign w:val="center"/>
            <w:hideMark/>
          </w:tcPr>
          <w:p w14:paraId="066F349E" w14:textId="77777777" w:rsidR="00EC789B" w:rsidRPr="00EC789B" w:rsidRDefault="00EC789B" w:rsidP="00EC789B">
            <w:pPr>
              <w:rPr>
                <w:rFonts w:ascii="Arial" w:hAnsi="Arial" w:cs="Arial"/>
              </w:rPr>
            </w:pPr>
            <w:r w:rsidRPr="00EC789B">
              <w:rPr>
                <w:rFonts w:ascii="Arial" w:hAnsi="Arial" w:cs="Arial"/>
                <w:i/>
                <w:iCs/>
              </w:rPr>
              <w:t>“English law applies. Arbitration in London (LCIA).”</w:t>
            </w:r>
          </w:p>
        </w:tc>
        <w:tc>
          <w:tcPr>
            <w:tcW w:w="0" w:type="auto"/>
            <w:tcMar>
              <w:top w:w="150" w:type="dxa"/>
              <w:left w:w="240" w:type="dxa"/>
              <w:bottom w:w="150" w:type="dxa"/>
              <w:right w:w="0" w:type="dxa"/>
            </w:tcMar>
            <w:vAlign w:val="center"/>
            <w:hideMark/>
          </w:tcPr>
          <w:p w14:paraId="7342392F" w14:textId="77777777" w:rsidR="00EC789B" w:rsidRPr="00EC789B" w:rsidRDefault="00EC789B" w:rsidP="00EC789B">
            <w:pPr>
              <w:rPr>
                <w:rFonts w:ascii="Arial" w:hAnsi="Arial" w:cs="Arial"/>
              </w:rPr>
            </w:pPr>
            <w:r w:rsidRPr="00EC789B">
              <w:rPr>
                <w:rFonts w:ascii="Arial" w:hAnsi="Arial" w:cs="Arial"/>
                <w:i/>
                <w:iCs/>
              </w:rPr>
              <w:t>“</w:t>
            </w:r>
            <w:r w:rsidRPr="00EC789B">
              <w:rPr>
                <w:rFonts w:ascii="Arial" w:hAnsi="Arial" w:cs="Arial"/>
                <w:b/>
                <w:bCs/>
                <w:i/>
                <w:iCs/>
              </w:rPr>
              <w:t>South African law</w:t>
            </w:r>
            <w:r w:rsidRPr="00EC789B">
              <w:rPr>
                <w:rFonts w:ascii="Arial" w:hAnsi="Arial" w:cs="Arial"/>
                <w:i/>
                <w:iCs/>
              </w:rPr>
              <w:t> applies. Arbitration in </w:t>
            </w:r>
            <w:r w:rsidRPr="00EC789B">
              <w:rPr>
                <w:rFonts w:ascii="Arial" w:hAnsi="Arial" w:cs="Arial"/>
                <w:b/>
                <w:bCs/>
                <w:i/>
                <w:iCs/>
              </w:rPr>
              <w:t>Johannesburg</w:t>
            </w:r>
            <w:r w:rsidRPr="00EC789B">
              <w:rPr>
                <w:rFonts w:ascii="Arial" w:hAnsi="Arial" w:cs="Arial"/>
                <w:i/>
                <w:iCs/>
              </w:rPr>
              <w:t> (AFSA).”</w:t>
            </w:r>
          </w:p>
        </w:tc>
      </w:tr>
    </w:tbl>
    <w:p w14:paraId="51ED79F4" w14:textId="77777777" w:rsidR="00EC789B" w:rsidRPr="00EC789B" w:rsidRDefault="00EC789B" w:rsidP="00EC789B">
      <w:pPr>
        <w:rPr>
          <w:rFonts w:ascii="Arial" w:hAnsi="Arial" w:cs="Arial"/>
        </w:rPr>
      </w:pPr>
      <w:r w:rsidRPr="00EC789B">
        <w:rPr>
          <w:rFonts w:ascii="Arial" w:hAnsi="Arial" w:cs="Arial"/>
          <w:b/>
          <w:bCs/>
        </w:rPr>
        <w:t>Comment (marginal note):</w:t>
      </w:r>
      <w:r w:rsidRPr="00EC789B">
        <w:rPr>
          <w:rFonts w:ascii="Arial" w:hAnsi="Arial" w:cs="Arial"/>
        </w:rPr>
        <w:br/>
      </w:r>
      <w:r w:rsidRPr="00EC789B">
        <w:rPr>
          <w:rFonts w:ascii="Segoe UI Emoji" w:hAnsi="Segoe UI Emoji" w:cs="Segoe UI Emoji"/>
        </w:rPr>
        <w:t>❌</w:t>
      </w:r>
      <w:r w:rsidRPr="00EC789B">
        <w:rPr>
          <w:rFonts w:ascii="Arial" w:hAnsi="Arial" w:cs="Arial"/>
        </w:rPr>
        <w:t> </w:t>
      </w:r>
      <w:r w:rsidRPr="00EC789B">
        <w:rPr>
          <w:rFonts w:ascii="Arial" w:hAnsi="Arial" w:cs="Arial"/>
          <w:i/>
          <w:iCs/>
        </w:rPr>
        <w:t>English law exposes Eskom to unfavorable precedents on state-owned entities. Mandatory change to RSA law.</w:t>
      </w:r>
    </w:p>
    <w:p w14:paraId="1E6C7416" w14:textId="77777777" w:rsidR="00EC789B" w:rsidRPr="00EC789B" w:rsidRDefault="00000000" w:rsidP="00EC789B">
      <w:pPr>
        <w:rPr>
          <w:rFonts w:ascii="Arial" w:hAnsi="Arial" w:cs="Arial"/>
        </w:rPr>
      </w:pPr>
      <w:r>
        <w:rPr>
          <w:rFonts w:ascii="Arial" w:hAnsi="Arial" w:cs="Arial"/>
        </w:rPr>
        <w:pict w14:anchorId="5E7725B2">
          <v:rect id="_x0000_i1030" style="width:0;height:.75pt" o:hralign="center" o:hrstd="t" o:hr="t" fillcolor="#a0a0a0" stroked="f"/>
        </w:pict>
      </w:r>
    </w:p>
    <w:p w14:paraId="41AE3FCB" w14:textId="77777777" w:rsidR="00EC789B" w:rsidRPr="00EC789B" w:rsidRDefault="00EC789B" w:rsidP="00EC789B">
      <w:pPr>
        <w:rPr>
          <w:rFonts w:ascii="Arial" w:hAnsi="Arial" w:cs="Arial"/>
          <w:b/>
          <w:bCs/>
        </w:rPr>
      </w:pPr>
      <w:r w:rsidRPr="00EC789B">
        <w:rPr>
          <w:rFonts w:ascii="Arial" w:hAnsi="Arial" w:cs="Arial"/>
          <w:b/>
          <w:bCs/>
        </w:rPr>
        <w:t>4. TRACKED CHANGES SIMULATION (As seen in Word)</w:t>
      </w:r>
    </w:p>
    <w:p w14:paraId="54D21361" w14:textId="77777777" w:rsidR="00EC789B" w:rsidRPr="00EC789B" w:rsidRDefault="00EC789B" w:rsidP="00EC789B">
      <w:pPr>
        <w:rPr>
          <w:rFonts w:ascii="Arial" w:hAnsi="Arial" w:cs="Arial"/>
        </w:rPr>
      </w:pPr>
      <w:r w:rsidRPr="00EC789B">
        <w:rPr>
          <w:rFonts w:ascii="Arial" w:hAnsi="Arial" w:cs="Arial"/>
          <w:b/>
          <w:bCs/>
        </w:rPr>
        <w:t>Clause 19.3 (Liability cap)</w:t>
      </w:r>
      <w:r w:rsidRPr="00EC789B">
        <w:rPr>
          <w:rFonts w:ascii="Arial" w:hAnsi="Arial" w:cs="Arial"/>
        </w:rPr>
        <w:br/>
      </w:r>
      <w:r w:rsidRPr="00EC789B">
        <w:rPr>
          <w:rFonts w:ascii="Arial" w:hAnsi="Arial" w:cs="Arial"/>
          <w:i/>
          <w:iCs/>
        </w:rPr>
        <w:t>“Each party’s aggregate liability shall be limited to the contract value ~~ZAR 2.1 billion~~ </w:t>
      </w:r>
      <w:r w:rsidRPr="00EC789B">
        <w:rPr>
          <w:rFonts w:ascii="Arial" w:hAnsi="Arial" w:cs="Arial"/>
          <w:b/>
          <w:bCs/>
          <w:i/>
          <w:iCs/>
        </w:rPr>
        <w:t>ZAR 500 million for Eskom, unlimited for Supplier for data breach or wilful default.</w:t>
      </w:r>
      <w:r w:rsidRPr="00EC789B">
        <w:rPr>
          <w:rFonts w:ascii="Arial" w:hAnsi="Arial" w:cs="Arial"/>
          <w:i/>
          <w:iCs/>
        </w:rPr>
        <w:t>”</w:t>
      </w:r>
      <w:r w:rsidRPr="00EC789B">
        <w:rPr>
          <w:rFonts w:ascii="Arial" w:hAnsi="Arial" w:cs="Arial"/>
        </w:rPr>
        <w:br/>
      </w:r>
      <w:r w:rsidRPr="00EC789B">
        <w:rPr>
          <w:rFonts w:ascii="Arial" w:hAnsi="Arial" w:cs="Arial"/>
          <w:i/>
          <w:iCs/>
        </w:rPr>
        <w:t>[Marginal comment by S. Ndlovu: “Unlimited liability for Eskom invalid under PFMA. Insert standard SOE cap.”]</w:t>
      </w:r>
    </w:p>
    <w:p w14:paraId="1A3E58C4" w14:textId="77777777" w:rsidR="00EC789B" w:rsidRPr="00EC789B" w:rsidRDefault="00000000" w:rsidP="00EC789B">
      <w:pPr>
        <w:rPr>
          <w:rFonts w:ascii="Arial" w:hAnsi="Arial" w:cs="Arial"/>
        </w:rPr>
      </w:pPr>
      <w:r>
        <w:rPr>
          <w:rFonts w:ascii="Arial" w:hAnsi="Arial" w:cs="Arial"/>
        </w:rPr>
        <w:pict w14:anchorId="1BEE0598">
          <v:rect id="_x0000_i1031" style="width:0;height:.75pt" o:hralign="center" o:hrstd="t" o:hr="t" fillcolor="#a0a0a0" stroked="f"/>
        </w:pict>
      </w:r>
    </w:p>
    <w:p w14:paraId="64E01996" w14:textId="77777777" w:rsidR="00EC789B" w:rsidRPr="00EC789B" w:rsidRDefault="00EC789B" w:rsidP="00EC789B">
      <w:pPr>
        <w:rPr>
          <w:rFonts w:ascii="Arial" w:hAnsi="Arial" w:cs="Arial"/>
          <w:b/>
          <w:bCs/>
        </w:rPr>
      </w:pPr>
      <w:r w:rsidRPr="00EC789B">
        <w:rPr>
          <w:rFonts w:ascii="Arial" w:hAnsi="Arial" w:cs="Arial"/>
          <w:b/>
          <w:bCs/>
        </w:rPr>
        <w:t>5. ACTION LOG FOR ESKOM MANAGEMENT</w:t>
      </w:r>
    </w:p>
    <w:tbl>
      <w:tblPr>
        <w:tblW w:w="0" w:type="auto"/>
        <w:tblCellMar>
          <w:top w:w="15" w:type="dxa"/>
          <w:left w:w="15" w:type="dxa"/>
          <w:bottom w:w="15" w:type="dxa"/>
          <w:right w:w="15" w:type="dxa"/>
        </w:tblCellMar>
        <w:tblLook w:val="04A0" w:firstRow="1" w:lastRow="0" w:firstColumn="1" w:lastColumn="0" w:noHBand="0" w:noVBand="1"/>
      </w:tblPr>
      <w:tblGrid>
        <w:gridCol w:w="1460"/>
        <w:gridCol w:w="2997"/>
        <w:gridCol w:w="2506"/>
        <w:gridCol w:w="2063"/>
      </w:tblGrid>
      <w:tr w:rsidR="00EC789B" w:rsidRPr="00EC789B" w14:paraId="005FA27A" w14:textId="77777777">
        <w:trPr>
          <w:tblHeader/>
        </w:trPr>
        <w:tc>
          <w:tcPr>
            <w:tcW w:w="0" w:type="auto"/>
            <w:tcBorders>
              <w:top w:val="nil"/>
            </w:tcBorders>
            <w:tcMar>
              <w:top w:w="150" w:type="dxa"/>
              <w:left w:w="0" w:type="dxa"/>
              <w:bottom w:w="150" w:type="dxa"/>
              <w:right w:w="240" w:type="dxa"/>
            </w:tcMar>
            <w:vAlign w:val="center"/>
            <w:hideMark/>
          </w:tcPr>
          <w:p w14:paraId="04428D27" w14:textId="77777777" w:rsidR="00EC789B" w:rsidRPr="00EC789B" w:rsidRDefault="00EC789B" w:rsidP="00EC789B">
            <w:pPr>
              <w:rPr>
                <w:rFonts w:ascii="Arial" w:hAnsi="Arial" w:cs="Arial"/>
              </w:rPr>
            </w:pPr>
            <w:r w:rsidRPr="00EC789B">
              <w:rPr>
                <w:rFonts w:ascii="Arial" w:hAnsi="Arial" w:cs="Arial"/>
              </w:rPr>
              <w:t>Clause</w:t>
            </w:r>
          </w:p>
        </w:tc>
        <w:tc>
          <w:tcPr>
            <w:tcW w:w="0" w:type="auto"/>
            <w:tcBorders>
              <w:top w:val="nil"/>
            </w:tcBorders>
            <w:tcMar>
              <w:top w:w="150" w:type="dxa"/>
              <w:left w:w="240" w:type="dxa"/>
              <w:bottom w:w="150" w:type="dxa"/>
              <w:right w:w="240" w:type="dxa"/>
            </w:tcMar>
            <w:vAlign w:val="center"/>
            <w:hideMark/>
          </w:tcPr>
          <w:p w14:paraId="082DB5BD" w14:textId="77777777" w:rsidR="00EC789B" w:rsidRPr="00EC789B" w:rsidRDefault="00EC789B" w:rsidP="00EC789B">
            <w:pPr>
              <w:rPr>
                <w:rFonts w:ascii="Arial" w:hAnsi="Arial" w:cs="Arial"/>
              </w:rPr>
            </w:pPr>
            <w:r w:rsidRPr="00EC789B">
              <w:rPr>
                <w:rFonts w:ascii="Arial" w:hAnsi="Arial" w:cs="Arial"/>
              </w:rPr>
              <w:t>Action Required</w:t>
            </w:r>
          </w:p>
        </w:tc>
        <w:tc>
          <w:tcPr>
            <w:tcW w:w="0" w:type="auto"/>
            <w:tcBorders>
              <w:top w:val="nil"/>
            </w:tcBorders>
            <w:tcMar>
              <w:top w:w="150" w:type="dxa"/>
              <w:left w:w="240" w:type="dxa"/>
              <w:bottom w:w="150" w:type="dxa"/>
              <w:right w:w="240" w:type="dxa"/>
            </w:tcMar>
            <w:vAlign w:val="center"/>
            <w:hideMark/>
          </w:tcPr>
          <w:p w14:paraId="5CA1B959" w14:textId="77777777" w:rsidR="00EC789B" w:rsidRPr="00EC789B" w:rsidRDefault="00EC789B" w:rsidP="00EC789B">
            <w:pPr>
              <w:rPr>
                <w:rFonts w:ascii="Arial" w:hAnsi="Arial" w:cs="Arial"/>
              </w:rPr>
            </w:pPr>
            <w:r w:rsidRPr="00EC789B">
              <w:rPr>
                <w:rFonts w:ascii="Arial" w:hAnsi="Arial" w:cs="Arial"/>
              </w:rPr>
              <w:t>Owner</w:t>
            </w:r>
          </w:p>
        </w:tc>
        <w:tc>
          <w:tcPr>
            <w:tcW w:w="0" w:type="auto"/>
            <w:tcBorders>
              <w:top w:val="nil"/>
            </w:tcBorders>
            <w:tcMar>
              <w:top w:w="150" w:type="dxa"/>
              <w:left w:w="240" w:type="dxa"/>
              <w:bottom w:w="150" w:type="dxa"/>
              <w:right w:w="240" w:type="dxa"/>
            </w:tcMar>
            <w:vAlign w:val="center"/>
            <w:hideMark/>
          </w:tcPr>
          <w:p w14:paraId="4350732F" w14:textId="77777777" w:rsidR="00EC789B" w:rsidRPr="00EC789B" w:rsidRDefault="00EC789B" w:rsidP="00EC789B">
            <w:pPr>
              <w:rPr>
                <w:rFonts w:ascii="Arial" w:hAnsi="Arial" w:cs="Arial"/>
              </w:rPr>
            </w:pPr>
            <w:r w:rsidRPr="00EC789B">
              <w:rPr>
                <w:rFonts w:ascii="Arial" w:hAnsi="Arial" w:cs="Arial"/>
              </w:rPr>
              <w:t>Deadline</w:t>
            </w:r>
          </w:p>
        </w:tc>
      </w:tr>
      <w:tr w:rsidR="00EC789B" w:rsidRPr="00EC789B" w14:paraId="3BFADB53" w14:textId="77777777">
        <w:tc>
          <w:tcPr>
            <w:tcW w:w="0" w:type="auto"/>
            <w:tcMar>
              <w:top w:w="150" w:type="dxa"/>
              <w:left w:w="0" w:type="dxa"/>
              <w:bottom w:w="150" w:type="dxa"/>
              <w:right w:w="240" w:type="dxa"/>
            </w:tcMar>
            <w:vAlign w:val="center"/>
            <w:hideMark/>
          </w:tcPr>
          <w:p w14:paraId="6FE8D1F9" w14:textId="77777777" w:rsidR="00EC789B" w:rsidRPr="00EC789B" w:rsidRDefault="00EC789B" w:rsidP="00EC789B">
            <w:pPr>
              <w:rPr>
                <w:rFonts w:ascii="Arial" w:hAnsi="Arial" w:cs="Arial"/>
              </w:rPr>
            </w:pPr>
            <w:r w:rsidRPr="00EC789B">
              <w:rPr>
                <w:rFonts w:ascii="Arial" w:hAnsi="Arial" w:cs="Arial"/>
              </w:rPr>
              <w:t>6</w:t>
            </w:r>
          </w:p>
        </w:tc>
        <w:tc>
          <w:tcPr>
            <w:tcW w:w="0" w:type="auto"/>
            <w:tcMar>
              <w:top w:w="150" w:type="dxa"/>
              <w:left w:w="240" w:type="dxa"/>
              <w:bottom w:w="150" w:type="dxa"/>
              <w:right w:w="240" w:type="dxa"/>
            </w:tcMar>
            <w:vAlign w:val="center"/>
            <w:hideMark/>
          </w:tcPr>
          <w:p w14:paraId="51CC2B61" w14:textId="77777777" w:rsidR="00EC789B" w:rsidRPr="00EC789B" w:rsidRDefault="00EC789B" w:rsidP="00EC789B">
            <w:pPr>
              <w:rPr>
                <w:rFonts w:ascii="Arial" w:hAnsi="Arial" w:cs="Arial"/>
              </w:rPr>
            </w:pPr>
            <w:r w:rsidRPr="00EC789B">
              <w:rPr>
                <w:rFonts w:ascii="Arial" w:hAnsi="Arial" w:cs="Arial"/>
              </w:rPr>
              <w:t>Negotiate CPI + 2%</w:t>
            </w:r>
          </w:p>
        </w:tc>
        <w:tc>
          <w:tcPr>
            <w:tcW w:w="0" w:type="auto"/>
            <w:tcMar>
              <w:top w:w="150" w:type="dxa"/>
              <w:left w:w="240" w:type="dxa"/>
              <w:bottom w:w="150" w:type="dxa"/>
              <w:right w:w="240" w:type="dxa"/>
            </w:tcMar>
            <w:vAlign w:val="center"/>
            <w:hideMark/>
          </w:tcPr>
          <w:p w14:paraId="20A8FC16" w14:textId="77777777" w:rsidR="00EC789B" w:rsidRPr="00EC789B" w:rsidRDefault="00EC789B" w:rsidP="00EC789B">
            <w:pPr>
              <w:rPr>
                <w:rFonts w:ascii="Arial" w:hAnsi="Arial" w:cs="Arial"/>
              </w:rPr>
            </w:pPr>
            <w:r w:rsidRPr="00EC789B">
              <w:rPr>
                <w:rFonts w:ascii="Arial" w:hAnsi="Arial" w:cs="Arial"/>
              </w:rPr>
              <w:t>Eskom Treasury</w:t>
            </w:r>
          </w:p>
        </w:tc>
        <w:tc>
          <w:tcPr>
            <w:tcW w:w="0" w:type="auto"/>
            <w:tcMar>
              <w:top w:w="150" w:type="dxa"/>
              <w:left w:w="240" w:type="dxa"/>
              <w:bottom w:w="150" w:type="dxa"/>
              <w:right w:w="0" w:type="dxa"/>
            </w:tcMar>
            <w:vAlign w:val="center"/>
            <w:hideMark/>
          </w:tcPr>
          <w:p w14:paraId="0DDB9549" w14:textId="77777777" w:rsidR="00EC789B" w:rsidRPr="00EC789B" w:rsidRDefault="00EC789B" w:rsidP="00EC789B">
            <w:pPr>
              <w:rPr>
                <w:rFonts w:ascii="Arial" w:hAnsi="Arial" w:cs="Arial"/>
              </w:rPr>
            </w:pPr>
            <w:r w:rsidRPr="00EC789B">
              <w:rPr>
                <w:rFonts w:ascii="Arial" w:hAnsi="Arial" w:cs="Arial"/>
              </w:rPr>
              <w:t>25 March</w:t>
            </w:r>
          </w:p>
        </w:tc>
      </w:tr>
      <w:tr w:rsidR="00EC789B" w:rsidRPr="00EC789B" w14:paraId="788B7B32" w14:textId="77777777">
        <w:tc>
          <w:tcPr>
            <w:tcW w:w="0" w:type="auto"/>
            <w:tcMar>
              <w:top w:w="150" w:type="dxa"/>
              <w:left w:w="0" w:type="dxa"/>
              <w:bottom w:w="150" w:type="dxa"/>
              <w:right w:w="240" w:type="dxa"/>
            </w:tcMar>
            <w:vAlign w:val="center"/>
            <w:hideMark/>
          </w:tcPr>
          <w:p w14:paraId="21BCD5C6" w14:textId="77777777" w:rsidR="00EC789B" w:rsidRPr="00EC789B" w:rsidRDefault="00EC789B" w:rsidP="00EC789B">
            <w:pPr>
              <w:rPr>
                <w:rFonts w:ascii="Arial" w:hAnsi="Arial" w:cs="Arial"/>
              </w:rPr>
            </w:pPr>
            <w:r w:rsidRPr="00EC789B">
              <w:rPr>
                <w:rFonts w:ascii="Arial" w:hAnsi="Arial" w:cs="Arial"/>
              </w:rPr>
              <w:t>14</w:t>
            </w:r>
          </w:p>
        </w:tc>
        <w:tc>
          <w:tcPr>
            <w:tcW w:w="0" w:type="auto"/>
            <w:tcMar>
              <w:top w:w="150" w:type="dxa"/>
              <w:left w:w="240" w:type="dxa"/>
              <w:bottom w:w="150" w:type="dxa"/>
              <w:right w:w="240" w:type="dxa"/>
            </w:tcMar>
            <w:vAlign w:val="center"/>
            <w:hideMark/>
          </w:tcPr>
          <w:p w14:paraId="6461BF81" w14:textId="77777777" w:rsidR="00EC789B" w:rsidRPr="00EC789B" w:rsidRDefault="00EC789B" w:rsidP="00EC789B">
            <w:pPr>
              <w:rPr>
                <w:rFonts w:ascii="Arial" w:hAnsi="Arial" w:cs="Arial"/>
              </w:rPr>
            </w:pPr>
            <w:r w:rsidRPr="00EC789B">
              <w:rPr>
                <w:rFonts w:ascii="Arial" w:hAnsi="Arial" w:cs="Arial"/>
              </w:rPr>
              <w:t>Insert grid code exception</w:t>
            </w:r>
          </w:p>
        </w:tc>
        <w:tc>
          <w:tcPr>
            <w:tcW w:w="0" w:type="auto"/>
            <w:tcMar>
              <w:top w:w="150" w:type="dxa"/>
              <w:left w:w="240" w:type="dxa"/>
              <w:bottom w:w="150" w:type="dxa"/>
              <w:right w:w="240" w:type="dxa"/>
            </w:tcMar>
            <w:vAlign w:val="center"/>
            <w:hideMark/>
          </w:tcPr>
          <w:p w14:paraId="14FCA902" w14:textId="77777777" w:rsidR="00EC789B" w:rsidRPr="00EC789B" w:rsidRDefault="00EC789B" w:rsidP="00EC789B">
            <w:pPr>
              <w:rPr>
                <w:rFonts w:ascii="Arial" w:hAnsi="Arial" w:cs="Arial"/>
              </w:rPr>
            </w:pPr>
            <w:r w:rsidRPr="00EC789B">
              <w:rPr>
                <w:rFonts w:ascii="Arial" w:hAnsi="Arial" w:cs="Arial"/>
              </w:rPr>
              <w:t>Eskom Legal</w:t>
            </w:r>
          </w:p>
        </w:tc>
        <w:tc>
          <w:tcPr>
            <w:tcW w:w="0" w:type="auto"/>
            <w:tcMar>
              <w:top w:w="150" w:type="dxa"/>
              <w:left w:w="240" w:type="dxa"/>
              <w:bottom w:w="150" w:type="dxa"/>
              <w:right w:w="0" w:type="dxa"/>
            </w:tcMar>
            <w:vAlign w:val="center"/>
            <w:hideMark/>
          </w:tcPr>
          <w:p w14:paraId="3BEC6FD8" w14:textId="77777777" w:rsidR="00EC789B" w:rsidRPr="00EC789B" w:rsidRDefault="00EC789B" w:rsidP="00EC789B">
            <w:pPr>
              <w:rPr>
                <w:rFonts w:ascii="Arial" w:hAnsi="Arial" w:cs="Arial"/>
              </w:rPr>
            </w:pPr>
            <w:r w:rsidRPr="00EC789B">
              <w:rPr>
                <w:rFonts w:ascii="Arial" w:hAnsi="Arial" w:cs="Arial"/>
              </w:rPr>
              <w:t>22 March</w:t>
            </w:r>
          </w:p>
        </w:tc>
      </w:tr>
      <w:tr w:rsidR="00EC789B" w:rsidRPr="00EC789B" w14:paraId="64F61088" w14:textId="77777777">
        <w:tc>
          <w:tcPr>
            <w:tcW w:w="0" w:type="auto"/>
            <w:tcMar>
              <w:top w:w="150" w:type="dxa"/>
              <w:left w:w="0" w:type="dxa"/>
              <w:bottom w:w="150" w:type="dxa"/>
              <w:right w:w="240" w:type="dxa"/>
            </w:tcMar>
            <w:vAlign w:val="center"/>
            <w:hideMark/>
          </w:tcPr>
          <w:p w14:paraId="1A02232E" w14:textId="77777777" w:rsidR="00EC789B" w:rsidRPr="00EC789B" w:rsidRDefault="00EC789B" w:rsidP="00EC789B">
            <w:pPr>
              <w:rPr>
                <w:rFonts w:ascii="Arial" w:hAnsi="Arial" w:cs="Arial"/>
              </w:rPr>
            </w:pPr>
            <w:r w:rsidRPr="00EC789B">
              <w:rPr>
                <w:rFonts w:ascii="Arial" w:hAnsi="Arial" w:cs="Arial"/>
              </w:rPr>
              <w:t>23</w:t>
            </w:r>
          </w:p>
        </w:tc>
        <w:tc>
          <w:tcPr>
            <w:tcW w:w="0" w:type="auto"/>
            <w:tcMar>
              <w:top w:w="150" w:type="dxa"/>
              <w:left w:w="240" w:type="dxa"/>
              <w:bottom w:w="150" w:type="dxa"/>
              <w:right w:w="240" w:type="dxa"/>
            </w:tcMar>
            <w:vAlign w:val="center"/>
            <w:hideMark/>
          </w:tcPr>
          <w:p w14:paraId="5F0C527B" w14:textId="77777777" w:rsidR="00EC789B" w:rsidRPr="00EC789B" w:rsidRDefault="00EC789B" w:rsidP="00EC789B">
            <w:pPr>
              <w:rPr>
                <w:rFonts w:ascii="Arial" w:hAnsi="Arial" w:cs="Arial"/>
              </w:rPr>
            </w:pPr>
            <w:r w:rsidRPr="00EC789B">
              <w:rPr>
                <w:rFonts w:ascii="Arial" w:hAnsi="Arial" w:cs="Arial"/>
              </w:rPr>
              <w:t>Change to RSA law / AFSA</w:t>
            </w:r>
          </w:p>
        </w:tc>
        <w:tc>
          <w:tcPr>
            <w:tcW w:w="0" w:type="auto"/>
            <w:tcMar>
              <w:top w:w="150" w:type="dxa"/>
              <w:left w:w="240" w:type="dxa"/>
              <w:bottom w:w="150" w:type="dxa"/>
              <w:right w:w="240" w:type="dxa"/>
            </w:tcMar>
            <w:vAlign w:val="center"/>
            <w:hideMark/>
          </w:tcPr>
          <w:p w14:paraId="76C5306A" w14:textId="77777777" w:rsidR="00EC789B" w:rsidRPr="00EC789B" w:rsidRDefault="00EC789B" w:rsidP="00EC789B">
            <w:pPr>
              <w:rPr>
                <w:rFonts w:ascii="Arial" w:hAnsi="Arial" w:cs="Arial"/>
              </w:rPr>
            </w:pPr>
            <w:r w:rsidRPr="00EC789B">
              <w:rPr>
                <w:rFonts w:ascii="Arial" w:hAnsi="Arial" w:cs="Arial"/>
              </w:rPr>
              <w:t>Eskom Corporate Counsel</w:t>
            </w:r>
          </w:p>
        </w:tc>
        <w:tc>
          <w:tcPr>
            <w:tcW w:w="0" w:type="auto"/>
            <w:tcMar>
              <w:top w:w="150" w:type="dxa"/>
              <w:left w:w="240" w:type="dxa"/>
              <w:bottom w:w="150" w:type="dxa"/>
              <w:right w:w="0" w:type="dxa"/>
            </w:tcMar>
            <w:vAlign w:val="center"/>
            <w:hideMark/>
          </w:tcPr>
          <w:p w14:paraId="05DF5CC1" w14:textId="77777777" w:rsidR="00EC789B" w:rsidRPr="00EC789B" w:rsidRDefault="00EC789B" w:rsidP="00EC789B">
            <w:pPr>
              <w:rPr>
                <w:rFonts w:ascii="Arial" w:hAnsi="Arial" w:cs="Arial"/>
              </w:rPr>
            </w:pPr>
            <w:r w:rsidRPr="00EC789B">
              <w:rPr>
                <w:rFonts w:ascii="Arial" w:hAnsi="Arial" w:cs="Arial"/>
              </w:rPr>
              <w:t>Immediate</w:t>
            </w:r>
          </w:p>
        </w:tc>
      </w:tr>
      <w:tr w:rsidR="00EC789B" w:rsidRPr="00EC789B" w14:paraId="67A6D39F" w14:textId="77777777">
        <w:tc>
          <w:tcPr>
            <w:tcW w:w="0" w:type="auto"/>
            <w:tcMar>
              <w:top w:w="150" w:type="dxa"/>
              <w:left w:w="0" w:type="dxa"/>
              <w:bottom w:w="150" w:type="dxa"/>
              <w:right w:w="240" w:type="dxa"/>
            </w:tcMar>
            <w:vAlign w:val="center"/>
            <w:hideMark/>
          </w:tcPr>
          <w:p w14:paraId="4EE528FE" w14:textId="77777777" w:rsidR="00EC789B" w:rsidRPr="00EC789B" w:rsidRDefault="00EC789B" w:rsidP="00EC789B">
            <w:pPr>
              <w:rPr>
                <w:rFonts w:ascii="Arial" w:hAnsi="Arial" w:cs="Arial"/>
              </w:rPr>
            </w:pPr>
            <w:r w:rsidRPr="00EC789B">
              <w:rPr>
                <w:rFonts w:ascii="Arial" w:hAnsi="Arial" w:cs="Arial"/>
              </w:rPr>
              <w:t>Exhibit D (SLA)</w:t>
            </w:r>
          </w:p>
        </w:tc>
        <w:tc>
          <w:tcPr>
            <w:tcW w:w="0" w:type="auto"/>
            <w:tcMar>
              <w:top w:w="150" w:type="dxa"/>
              <w:left w:w="240" w:type="dxa"/>
              <w:bottom w:w="150" w:type="dxa"/>
              <w:right w:w="240" w:type="dxa"/>
            </w:tcMar>
            <w:vAlign w:val="center"/>
            <w:hideMark/>
          </w:tcPr>
          <w:p w14:paraId="48626E37" w14:textId="77777777" w:rsidR="00EC789B" w:rsidRPr="00EC789B" w:rsidRDefault="00EC789B" w:rsidP="00EC789B">
            <w:pPr>
              <w:rPr>
                <w:rFonts w:ascii="Arial" w:hAnsi="Arial" w:cs="Arial"/>
              </w:rPr>
            </w:pPr>
            <w:r w:rsidRPr="00EC789B">
              <w:rPr>
                <w:rFonts w:ascii="Arial" w:hAnsi="Arial" w:cs="Arial"/>
              </w:rPr>
              <w:t>Not reviewed – missing schedules</w:t>
            </w:r>
          </w:p>
        </w:tc>
        <w:tc>
          <w:tcPr>
            <w:tcW w:w="0" w:type="auto"/>
            <w:tcMar>
              <w:top w:w="150" w:type="dxa"/>
              <w:left w:w="240" w:type="dxa"/>
              <w:bottom w:w="150" w:type="dxa"/>
              <w:right w:w="240" w:type="dxa"/>
            </w:tcMar>
            <w:vAlign w:val="center"/>
            <w:hideMark/>
          </w:tcPr>
          <w:p w14:paraId="032B1AF0" w14:textId="77777777" w:rsidR="00EC789B" w:rsidRPr="00EC789B" w:rsidRDefault="00EC789B" w:rsidP="00EC789B">
            <w:pPr>
              <w:rPr>
                <w:rFonts w:ascii="Arial" w:hAnsi="Arial" w:cs="Arial"/>
              </w:rPr>
            </w:pPr>
            <w:r w:rsidRPr="00EC789B">
              <w:rPr>
                <w:rFonts w:ascii="Arial" w:hAnsi="Arial" w:cs="Arial"/>
              </w:rPr>
              <w:t>Supplier</w:t>
            </w:r>
          </w:p>
        </w:tc>
        <w:tc>
          <w:tcPr>
            <w:tcW w:w="0" w:type="auto"/>
            <w:tcMar>
              <w:top w:w="150" w:type="dxa"/>
              <w:left w:w="240" w:type="dxa"/>
              <w:bottom w:w="150" w:type="dxa"/>
              <w:right w:w="0" w:type="dxa"/>
            </w:tcMar>
            <w:vAlign w:val="center"/>
            <w:hideMark/>
          </w:tcPr>
          <w:p w14:paraId="27B50C55" w14:textId="77777777" w:rsidR="00EC789B" w:rsidRPr="00EC789B" w:rsidRDefault="00EC789B" w:rsidP="00EC789B">
            <w:pPr>
              <w:rPr>
                <w:rFonts w:ascii="Arial" w:hAnsi="Arial" w:cs="Arial"/>
              </w:rPr>
            </w:pPr>
            <w:r w:rsidRPr="00EC789B">
              <w:rPr>
                <w:rFonts w:ascii="Arial" w:hAnsi="Arial" w:cs="Arial"/>
              </w:rPr>
              <w:t>Resubmit by 28 March</w:t>
            </w:r>
          </w:p>
        </w:tc>
      </w:tr>
    </w:tbl>
    <w:p w14:paraId="06117B31" w14:textId="77777777" w:rsidR="00EC789B" w:rsidRPr="00EC789B" w:rsidRDefault="00000000" w:rsidP="00EC789B">
      <w:pPr>
        <w:rPr>
          <w:rFonts w:ascii="Arial" w:hAnsi="Arial" w:cs="Arial"/>
        </w:rPr>
      </w:pPr>
      <w:r>
        <w:rPr>
          <w:rFonts w:ascii="Arial" w:hAnsi="Arial" w:cs="Arial"/>
        </w:rPr>
        <w:pict w14:anchorId="1559493A">
          <v:rect id="_x0000_i1032" style="width:0;height:.75pt" o:hralign="center" o:hrstd="t" o:hr="t" fillcolor="#a0a0a0" stroked="f"/>
        </w:pict>
      </w:r>
    </w:p>
    <w:p w14:paraId="67AFC703" w14:textId="77777777" w:rsidR="00EC789B" w:rsidRPr="00EC789B" w:rsidRDefault="00EC789B" w:rsidP="00EC789B">
      <w:pPr>
        <w:rPr>
          <w:rFonts w:ascii="Arial" w:hAnsi="Arial" w:cs="Arial"/>
          <w:b/>
          <w:bCs/>
        </w:rPr>
      </w:pPr>
      <w:r w:rsidRPr="00EC789B">
        <w:rPr>
          <w:rFonts w:ascii="Arial" w:hAnsi="Arial" w:cs="Arial"/>
          <w:b/>
          <w:bCs/>
        </w:rPr>
        <w:t>6. FINAL RECOMMENDATION</w:t>
      </w:r>
    </w:p>
    <w:p w14:paraId="5D72B17A" w14:textId="77777777" w:rsidR="00EC789B" w:rsidRPr="00EC789B" w:rsidRDefault="00EC789B" w:rsidP="00EC789B">
      <w:pPr>
        <w:rPr>
          <w:rFonts w:ascii="Arial" w:hAnsi="Arial" w:cs="Arial"/>
        </w:rPr>
      </w:pPr>
      <w:r w:rsidRPr="00EC789B">
        <w:rPr>
          <w:rFonts w:ascii="Arial" w:hAnsi="Arial" w:cs="Arial"/>
          <w:b/>
          <w:bCs/>
        </w:rPr>
        <w:lastRenderedPageBreak/>
        <w:t>Do not sign.</w:t>
      </w:r>
      <w:r w:rsidRPr="00EC789B">
        <w:rPr>
          <w:rFonts w:ascii="Arial" w:hAnsi="Arial" w:cs="Arial"/>
        </w:rPr>
        <w:br/>
        <w:t>Return to Supplier with </w:t>
      </w:r>
      <w:r w:rsidRPr="00EC789B">
        <w:rPr>
          <w:rFonts w:ascii="Arial" w:hAnsi="Arial" w:cs="Arial"/>
          <w:b/>
          <w:bCs/>
        </w:rPr>
        <w:t>marked-up Word document</w:t>
      </w:r>
      <w:r w:rsidRPr="00EC789B">
        <w:rPr>
          <w:rFonts w:ascii="Arial" w:hAnsi="Arial" w:cs="Arial"/>
        </w:rPr>
        <w:t> (attached). Request second review after Eskom’s Risk &amp; Audit Committee meeting (31 March 2026).</w:t>
      </w:r>
    </w:p>
    <w:p w14:paraId="140F8B09" w14:textId="77777777" w:rsidR="00EC789B" w:rsidRPr="00EC789B" w:rsidRDefault="00000000" w:rsidP="00EC789B">
      <w:pPr>
        <w:rPr>
          <w:rFonts w:ascii="Arial" w:hAnsi="Arial" w:cs="Arial"/>
        </w:rPr>
      </w:pPr>
      <w:r>
        <w:rPr>
          <w:rFonts w:ascii="Arial" w:hAnsi="Arial" w:cs="Arial"/>
        </w:rPr>
        <w:pict w14:anchorId="1D5AE19B">
          <v:rect id="_x0000_i1033" style="width:0;height:.75pt" o:hralign="center" o:hrstd="t" o:hr="t" fillcolor="#a0a0a0" stroked="f"/>
        </w:pict>
      </w:r>
    </w:p>
    <w:p w14:paraId="33559975" w14:textId="77777777" w:rsidR="00EC789B" w:rsidRPr="00EC789B" w:rsidRDefault="00EC789B" w:rsidP="00EC789B">
      <w:pPr>
        <w:rPr>
          <w:rFonts w:ascii="Arial" w:hAnsi="Arial" w:cs="Arial"/>
        </w:rPr>
      </w:pPr>
      <w:r w:rsidRPr="00EC789B">
        <w:rPr>
          <w:rFonts w:ascii="Arial" w:hAnsi="Arial" w:cs="Arial"/>
          <w:b/>
          <w:bCs/>
        </w:rPr>
        <w:t>[END OF DOCUMENT]</w:t>
      </w:r>
    </w:p>
    <w:p w14:paraId="75ECF864" w14:textId="52908A6C" w:rsidR="00EC789B" w:rsidRDefault="00EC789B" w:rsidP="00EC789B">
      <w:pPr>
        <w:rPr>
          <w:rFonts w:ascii="Arial" w:hAnsi="Arial" w:cs="Arial"/>
          <w:i/>
          <w:iCs/>
        </w:rPr>
      </w:pPr>
      <w:r w:rsidRPr="00EC789B">
        <w:rPr>
          <w:rFonts w:ascii="Arial" w:hAnsi="Arial" w:cs="Arial"/>
          <w:i/>
          <w:iCs/>
        </w:rPr>
        <w:t>This legal review remains privileged and confidential to Eskom Holdings SOC Ltd. Do not distribute to third parties without BowmanGilfillan Inc. written consent.</w:t>
      </w:r>
      <w:r w:rsidR="00387D11">
        <w:rPr>
          <w:rFonts w:ascii="Arial" w:hAnsi="Arial" w:cs="Arial"/>
          <w:i/>
          <w:iCs/>
        </w:rPr>
        <w:br/>
      </w:r>
      <w:r w:rsidR="00387D11">
        <w:rPr>
          <w:rFonts w:ascii="Arial" w:hAnsi="Arial" w:cs="Arial"/>
          <w:i/>
          <w:iCs/>
        </w:rPr>
        <w:br/>
        <w:t xml:space="preserve">hello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r w:rsidR="00387D11" w:rsidRPr="00387D11">
        <w:rPr>
          <w:rFonts w:ascii="Arial" w:hAnsi="Arial" w:cs="Arial"/>
          <w:i/>
          <w:iCs/>
        </w:rPr>
        <w:t xml:space="preserve"> </w:t>
      </w:r>
      <w:r w:rsidR="00387D11" w:rsidRPr="00387D11">
        <w:rPr>
          <w:rFonts w:ascii="Arial" w:hAnsi="Arial" w:cs="Arial"/>
          <w:i/>
          <w:iCs/>
        </w:rPr>
        <w:t>hello</w:t>
      </w:r>
    </w:p>
    <w:p w14:paraId="165E163B" w14:textId="77777777" w:rsidR="00431208" w:rsidRDefault="00431208" w:rsidP="00EC789B">
      <w:pPr>
        <w:rPr>
          <w:rFonts w:ascii="Arial" w:hAnsi="Arial" w:cs="Arial"/>
          <w:i/>
          <w:iCs/>
        </w:rPr>
      </w:pPr>
    </w:p>
    <w:p w14:paraId="17E09EAF" w14:textId="77777777" w:rsidR="00431208" w:rsidRPr="00EC789B" w:rsidRDefault="00431208" w:rsidP="00EC789B">
      <w:pPr>
        <w:rPr>
          <w:rFonts w:ascii="Arial" w:hAnsi="Arial" w:cs="Arial"/>
        </w:rPr>
      </w:pPr>
    </w:p>
    <w:p w14:paraId="0653D56F"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1647043F"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4C221FAC"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369B144E"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1789860D"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4416F02B"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2CDADF1F" w14:textId="77777777" w:rsidR="00431208" w:rsidRPr="00431208" w:rsidRDefault="00431208" w:rsidP="00431208">
      <w:pPr>
        <w:rPr>
          <w:rFonts w:ascii="Arial" w:hAnsi="Arial" w:cs="Arial"/>
        </w:rPr>
      </w:pPr>
      <w:r w:rsidRPr="00431208">
        <w:rPr>
          <w:rFonts w:ascii="Arial" w:hAnsi="Arial" w:cs="Arial"/>
          <w:i/>
          <w:iCs/>
        </w:rPr>
        <w:t>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 hello</w:t>
      </w:r>
    </w:p>
    <w:p w14:paraId="5B944E79" w14:textId="0BF193C6" w:rsidR="006E1731" w:rsidRPr="00EC789B" w:rsidRDefault="006E1731" w:rsidP="00EC789B">
      <w:pPr>
        <w:rPr>
          <w:rFonts w:ascii="Arial" w:hAnsi="Arial" w:cs="Arial"/>
        </w:rPr>
      </w:pPr>
    </w:p>
    <w:sectPr w:rsidR="006E1731" w:rsidRPr="00EC7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FD"/>
    <w:rsid w:val="00387D11"/>
    <w:rsid w:val="003B7409"/>
    <w:rsid w:val="00431208"/>
    <w:rsid w:val="006E1731"/>
    <w:rsid w:val="007A6F70"/>
    <w:rsid w:val="009227FD"/>
    <w:rsid w:val="00B1641F"/>
    <w:rsid w:val="00C23A2A"/>
    <w:rsid w:val="00EB14C2"/>
    <w:rsid w:val="00EC7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2F16"/>
  <w15:chartTrackingRefBased/>
  <w15:docId w15:val="{80502555-6F0B-4F3D-846F-422017E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FD"/>
    <w:rPr>
      <w:rFonts w:eastAsiaTheme="majorEastAsia" w:cstheme="majorBidi"/>
      <w:color w:val="272727" w:themeColor="text1" w:themeTint="D8"/>
    </w:rPr>
  </w:style>
  <w:style w:type="paragraph" w:styleId="Title">
    <w:name w:val="Title"/>
    <w:basedOn w:val="Normal"/>
    <w:next w:val="Normal"/>
    <w:link w:val="TitleChar"/>
    <w:uiPriority w:val="10"/>
    <w:qFormat/>
    <w:rsid w:val="00922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FD"/>
    <w:pPr>
      <w:spacing w:before="160"/>
      <w:jc w:val="center"/>
    </w:pPr>
    <w:rPr>
      <w:i/>
      <w:iCs/>
      <w:color w:val="404040" w:themeColor="text1" w:themeTint="BF"/>
    </w:rPr>
  </w:style>
  <w:style w:type="character" w:customStyle="1" w:styleId="QuoteChar">
    <w:name w:val="Quote Char"/>
    <w:basedOn w:val="DefaultParagraphFont"/>
    <w:link w:val="Quote"/>
    <w:uiPriority w:val="29"/>
    <w:rsid w:val="009227FD"/>
    <w:rPr>
      <w:i/>
      <w:iCs/>
      <w:color w:val="404040" w:themeColor="text1" w:themeTint="BF"/>
    </w:rPr>
  </w:style>
  <w:style w:type="paragraph" w:styleId="ListParagraph">
    <w:name w:val="List Paragraph"/>
    <w:basedOn w:val="Normal"/>
    <w:uiPriority w:val="34"/>
    <w:qFormat/>
    <w:rsid w:val="009227FD"/>
    <w:pPr>
      <w:ind w:left="720"/>
      <w:contextualSpacing/>
    </w:pPr>
  </w:style>
  <w:style w:type="character" w:styleId="IntenseEmphasis">
    <w:name w:val="Intense Emphasis"/>
    <w:basedOn w:val="DefaultParagraphFont"/>
    <w:uiPriority w:val="21"/>
    <w:qFormat/>
    <w:rsid w:val="009227FD"/>
    <w:rPr>
      <w:i/>
      <w:iCs/>
      <w:color w:val="0F4761" w:themeColor="accent1" w:themeShade="BF"/>
    </w:rPr>
  </w:style>
  <w:style w:type="paragraph" w:styleId="IntenseQuote">
    <w:name w:val="Intense Quote"/>
    <w:basedOn w:val="Normal"/>
    <w:next w:val="Normal"/>
    <w:link w:val="IntenseQuoteChar"/>
    <w:uiPriority w:val="30"/>
    <w:qFormat/>
    <w:rsid w:val="00922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7FD"/>
    <w:rPr>
      <w:i/>
      <w:iCs/>
      <w:color w:val="0F4761" w:themeColor="accent1" w:themeShade="BF"/>
    </w:rPr>
  </w:style>
  <w:style w:type="character" w:styleId="IntenseReference">
    <w:name w:val="Intense Reference"/>
    <w:basedOn w:val="DefaultParagraphFont"/>
    <w:uiPriority w:val="32"/>
    <w:qFormat/>
    <w:rsid w:val="00922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M</dc:creator>
  <cp:keywords/>
  <dc:description/>
  <cp:lastModifiedBy>Kabelo M</cp:lastModifiedBy>
  <cp:revision>5</cp:revision>
  <dcterms:created xsi:type="dcterms:W3CDTF">2026-04-28T22:53:00Z</dcterms:created>
  <dcterms:modified xsi:type="dcterms:W3CDTF">2026-04-28T23:49:00Z</dcterms:modified>
</cp:coreProperties>
</file>