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0891B2"/>
          <w:sz w:val="26"/>
        </w:rPr>
        <w:t>Paddle Field Sports Center</w:t>
      </w:r>
    </w:p>
    <w:p>
      <w:pPr>
        <w:spacing w:after="600"/>
        <w:jc w:val="center"/>
      </w:pPr>
      <w:r>
        <w:rPr>
          <w:b w:val="0"/>
          <w:i w:val="0"/>
          <w:color w:val="596579"/>
          <w:sz w:val="22"/>
        </w:rPr>
        <w:t>Court Reservation &amp; Wallet Credits System</w:t>
      </w:r>
    </w:p>
    <w:p>
      <w:pPr>
        <w:spacing w:after="80"/>
        <w:jc w:val="center"/>
      </w:pPr>
      <w:r>
        <w:rPr>
          <w:b/>
          <w:i w:val="0"/>
          <w:color w:val="0F172A"/>
          <w:sz w:val="48"/>
        </w:rPr>
        <w:t>Data Privacy Compliance Gap Analysis</w:t>
      </w:r>
    </w:p>
    <w:p>
      <w:pPr>
        <w:spacing w:after="80"/>
        <w:jc w:val="center"/>
      </w:pPr>
      <w:r>
        <w:rPr>
          <w:b/>
          <w:i w:val="0"/>
          <w:color w:val="0891B2"/>
          <w:sz w:val="28"/>
        </w:rPr>
        <w:t>Republic Act No. 10173 – Data Privacy Act of 2012</w:t>
      </w:r>
    </w:p>
    <w:p>
      <w:pPr>
        <w:spacing w:after="800"/>
        <w:jc w:val="center"/>
      </w:pPr>
      <w:r>
        <w:rPr>
          <w:b w:val="0"/>
          <w:i/>
          <w:color w:val="596579"/>
          <w:sz w:val="22"/>
        </w:rPr>
        <w:t>its Implementing Rules and Regulations (IRR) and related NPC issuances</w:t>
      </w:r>
    </w:p>
    <w:tbl>
      <w:tblPr>
        <w:tblStyle w:val="TableGrid"/>
        <w:tblW w:type="auto" w:w="0"/>
        <w:jc w:val="center"/>
        <w:tblLook w:firstColumn="1" w:firstRow="1" w:lastColumn="0" w:lastRow="0" w:noHBand="0" w:noVBand="1" w:val="04A0"/>
      </w:tblPr>
      <w:tblGrid>
        <w:gridCol w:w="4986"/>
        <w:gridCol w:w="4986"/>
      </w:tblGrid>
      <w:tr>
        <w:tc>
          <w:tcPr>
            <w:tcW w:type="dxa" w:w="2835"/>
            <w:shd w:val="clear" w:color="auto" w:fill="0F172A"/>
          </w:tcPr>
          <w:p>
            <w:r/>
            <w:r>
              <w:rPr>
                <w:b/>
                <w:color w:val="FFFFFF"/>
                <w:sz w:val="18"/>
              </w:rPr>
              <w:t>Item</w:t>
            </w:r>
          </w:p>
        </w:tc>
        <w:tc>
          <w:tcPr>
            <w:tcW w:type="dxa" w:w="6803"/>
            <w:shd w:val="clear" w:color="auto" w:fill="0F172A"/>
          </w:tcPr>
          <w:p>
            <w:r/>
            <w:r>
              <w:rPr>
                <w:b/>
                <w:color w:val="FFFFFF"/>
                <w:sz w:val="18"/>
              </w:rPr>
              <w:t>Details</w:t>
            </w:r>
          </w:p>
        </w:tc>
      </w:tr>
      <w:tr>
        <w:tc>
          <w:tcPr>
            <w:tcW w:type="dxa" w:w="2835"/>
          </w:tcPr>
          <w:p>
            <w:r/>
            <w:r>
              <w:rPr>
                <w:sz w:val="18"/>
              </w:rPr>
              <w:t>System</w:t>
            </w:r>
          </w:p>
        </w:tc>
        <w:tc>
          <w:tcPr>
            <w:tcW w:type="dxa" w:w="6803"/>
          </w:tcPr>
          <w:p>
            <w:r/>
            <w:r>
              <w:rPr>
                <w:sz w:val="18"/>
              </w:rPr>
              <w:t>Paddle Field Sports Center – Laravel web application (court booking, guest booking, wallet credits, owner / admin assistant portal)</w:t>
            </w:r>
          </w:p>
        </w:tc>
      </w:tr>
      <w:tr>
        <w:tc>
          <w:tcPr>
            <w:tcW w:type="dxa" w:w="2835"/>
          </w:tcPr>
          <w:p>
            <w:r/>
            <w:r>
              <w:rPr>
                <w:sz w:val="18"/>
              </w:rPr>
              <w:t>Personal Information Controller (PIC)</w:t>
            </w:r>
          </w:p>
        </w:tc>
        <w:tc>
          <w:tcPr>
            <w:tcW w:type="dxa" w:w="6803"/>
          </w:tcPr>
          <w:p>
            <w:r/>
            <w:r>
              <w:rPr>
                <w:sz w:val="18"/>
              </w:rPr>
              <w:t>Paddle Field Sports Center, Bacal 3, Talavera, Nueva Ecija</w:t>
            </w:r>
          </w:p>
        </w:tc>
      </w:tr>
      <w:tr>
        <w:tc>
          <w:tcPr>
            <w:tcW w:type="dxa" w:w="2835"/>
          </w:tcPr>
          <w:p>
            <w:r/>
            <w:r>
              <w:rPr>
                <w:sz w:val="18"/>
              </w:rPr>
              <w:t>Document type</w:t>
            </w:r>
          </w:p>
        </w:tc>
        <w:tc>
          <w:tcPr>
            <w:tcW w:type="dxa" w:w="6803"/>
          </w:tcPr>
          <w:p>
            <w:r/>
            <w:r>
              <w:rPr>
                <w:sz w:val="18"/>
              </w:rPr>
              <w:t>Gap analysis &amp; recommendations (no system changes made yet)</w:t>
            </w:r>
          </w:p>
        </w:tc>
      </w:tr>
      <w:tr>
        <w:tc>
          <w:tcPr>
            <w:tcW w:type="dxa" w:w="2835"/>
          </w:tcPr>
          <w:p>
            <w:r/>
            <w:r>
              <w:rPr>
                <w:sz w:val="18"/>
              </w:rPr>
              <w:t>Date prepared</w:t>
            </w:r>
          </w:p>
        </w:tc>
        <w:tc>
          <w:tcPr>
            <w:tcW w:type="dxa" w:w="6803"/>
          </w:tcPr>
          <w:p>
            <w:r/>
            <w:r>
              <w:rPr>
                <w:sz w:val="18"/>
              </w:rPr>
              <w:t>October 19, 2026</w:t>
            </w:r>
          </w:p>
        </w:tc>
      </w:tr>
      <w:tr>
        <w:tc>
          <w:tcPr>
            <w:tcW w:type="dxa" w:w="2835"/>
          </w:tcPr>
          <w:p>
            <w:r/>
            <w:r>
              <w:rPr>
                <w:sz w:val="18"/>
              </w:rPr>
              <w:t>Basis of review</w:t>
            </w:r>
          </w:p>
        </w:tc>
        <w:tc>
          <w:tcPr>
            <w:tcW w:type="dxa" w:w="6803"/>
          </w:tcPr>
          <w:p>
            <w:r/>
            <w:r>
              <w:rPr>
                <w:sz w:val="18"/>
              </w:rPr>
              <w:t>Source code review of the current repository (models, controllers, routes, views, migrations, .env configuration)</w:t>
            </w:r>
          </w:p>
        </w:tc>
      </w:tr>
    </w:tbl>
    <w:p>
      <w:pPr>
        <w:spacing w:after="40"/>
      </w:pPr>
    </w:p>
    <w:p>
      <w:pPr>
        <w:spacing w:after="80"/>
      </w:pPr>
      <w:r>
        <w:rPr>
          <w:b w:val="0"/>
          <w:i/>
          <w:color w:val="596579"/>
          <w:sz w:val="18"/>
        </w:rPr>
        <w:t>Disclaimer: This document is a technical compliance assessment intended to guide development work. It is not legal advice. Final interpretations, retention periods and registration obligations should be confirmed with the appointed Data Protection Officer (DPO), legal counsel, and the latest issuances of the National Privacy Commission (NPC).</w:t>
      </w:r>
    </w:p>
    <w:p>
      <w:r>
        <w:br w:type="page"/>
      </w:r>
    </w:p>
    <w:p>
      <w:pPr>
        <w:pStyle w:val="Heading1"/>
      </w:pPr>
      <w:r>
        <w:t>1. Executive Summary</w:t>
      </w:r>
    </w:p>
    <w:p>
      <w:pPr>
        <w:spacing w:after="80"/>
      </w:pPr>
      <w:r>
        <w:rPr>
          <w:b w:val="0"/>
          <w:i w:val="0"/>
        </w:rPr>
        <w:t>The system collects and processes personal information of registered players, guest bookers, court owners and admin assistants (names, e-mail addresses, mobile numbers, Google account identifiers, profile photos, booking history, wallet balances, and uploaded proof-of-payment screenshots). Under RA 10173, Paddle Field Sports Center acts as a Personal Information Controller (PIC) and must observe the principles of transparency, legitimate purpose and proportionality (Sec. 11), have a lawful basis for processing (Sec. 12), uphold data subject rights (Secs. 16–18), and implement reasonable organizational, physical and technical security measures (Sec. 20).</w:t>
      </w:r>
    </w:p>
    <w:p>
      <w:pPr>
        <w:spacing w:after="80"/>
      </w:pPr>
      <w:r>
        <w:rPr>
          <w:b w:val="0"/>
          <w:i w:val="0"/>
        </w:rPr>
        <w:t>The system already has a good foundation (Privacy Policy page, bcrypt password hashing, CSRF protection, role-based permissions, credit transaction ledger). However, several gaps must be addressed, three of which are critical because they can lead to unauthorized disclosure of personal data today:</w:t>
      </w:r>
    </w:p>
    <w:tbl>
      <w:tblPr>
        <w:tblStyle w:val="TableGrid"/>
        <w:tblW w:type="auto" w:w="0"/>
        <w:jc w:val="center"/>
        <w:tblLook w:firstColumn="1" w:firstRow="1" w:lastColumn="0" w:lastRow="0" w:noHBand="0" w:noVBand="1" w:val="04A0"/>
      </w:tblPr>
      <w:tblGrid>
        <w:gridCol w:w="3324"/>
        <w:gridCol w:w="3324"/>
        <w:gridCol w:w="3324"/>
      </w:tblGrid>
      <w:tr>
        <w:tc>
          <w:tcPr>
            <w:tcW w:type="dxa" w:w="454"/>
            <w:shd w:val="clear" w:color="auto" w:fill="0F172A"/>
          </w:tcPr>
          <w:p>
            <w:r/>
            <w:r>
              <w:rPr>
                <w:b/>
                <w:color w:val="FFFFFF"/>
                <w:sz w:val="17"/>
              </w:rPr>
              <w:t>#</w:t>
            </w:r>
          </w:p>
        </w:tc>
        <w:tc>
          <w:tcPr>
            <w:tcW w:type="dxa" w:w="4649"/>
            <w:shd w:val="clear" w:color="auto" w:fill="0F172A"/>
          </w:tcPr>
          <w:p>
            <w:r/>
            <w:r>
              <w:rPr>
                <w:b/>
                <w:color w:val="FFFFFF"/>
                <w:sz w:val="17"/>
              </w:rPr>
              <w:t>Critical finding</w:t>
            </w:r>
          </w:p>
        </w:tc>
        <w:tc>
          <w:tcPr>
            <w:tcW w:type="dxa" w:w="4535"/>
            <w:shd w:val="clear" w:color="auto" w:fill="0F172A"/>
          </w:tcPr>
          <w:p>
            <w:r/>
            <w:r>
              <w:rPr>
                <w:b/>
                <w:color w:val="FFFFFF"/>
                <w:sz w:val="17"/>
              </w:rPr>
              <w:t>Why it matters under RA 10173</w:t>
            </w:r>
          </w:p>
        </w:tc>
      </w:tr>
      <w:tr>
        <w:tc>
          <w:tcPr>
            <w:tcW w:type="dxa" w:w="454"/>
          </w:tcPr>
          <w:p>
            <w:r/>
            <w:r>
              <w:rPr>
                <w:sz w:val="17"/>
              </w:rPr>
              <w:t>1</w:t>
            </w:r>
          </w:p>
        </w:tc>
        <w:tc>
          <w:tcPr>
            <w:tcW w:type="dxa" w:w="4649"/>
          </w:tcPr>
          <w:p>
            <w:r/>
            <w:r>
              <w:rPr>
                <w:sz w:val="17"/>
              </w:rPr>
              <w:t>Payment receipt screenshots are stored on the PUBLIC disk (storage/app/public/receipts and credit_receipts) and are reachable by anyone who has or guesses the URL.</w:t>
            </w:r>
          </w:p>
        </w:tc>
        <w:tc>
          <w:tcPr>
            <w:tcW w:type="dxa" w:w="4535"/>
          </w:tcPr>
          <w:p>
            <w:r/>
            <w:r>
              <w:rPr>
                <w:sz w:val="17"/>
              </w:rPr>
              <w:t>Receipts typically show full names, mobile numbers and account numbers. Sec. 20 requires measures against unauthorized access; Sec. 26 penalizes access due to negligence.</w:t>
            </w:r>
          </w:p>
        </w:tc>
      </w:tr>
      <w:tr>
        <w:tc>
          <w:tcPr>
            <w:tcW w:type="dxa" w:w="454"/>
          </w:tcPr>
          <w:p>
            <w:r/>
            <w:r>
              <w:rPr>
                <w:sz w:val="17"/>
              </w:rPr>
              <w:t>2</w:t>
            </w:r>
          </w:p>
        </w:tc>
        <w:tc>
          <w:tcPr>
            <w:tcW w:type="dxa" w:w="4649"/>
          </w:tcPr>
          <w:p>
            <w:r/>
            <w:r>
              <w:rPr>
                <w:sz w:val="17"/>
              </w:rPr>
              <w:t>Booking references are exposed in the public court-availability data and the public 'courts' broadcast channel, and the public /track/{reference} page shows the customer's name and phone number without any verification.</w:t>
            </w:r>
          </w:p>
        </w:tc>
        <w:tc>
          <w:tcPr>
            <w:tcW w:type="dxa" w:w="4535"/>
          </w:tcPr>
          <w:p>
            <w:r/>
            <w:r>
              <w:rPr>
                <w:sz w:val="17"/>
              </w:rPr>
              <w:t>Any visitor can harvest names and mobile numbers of other players – an unauthorized disclosure (Sec. 32) and a potential reportable personal data breach (NPC Circular 16-03).</w:t>
            </w:r>
          </w:p>
        </w:tc>
      </w:tr>
      <w:tr>
        <w:tc>
          <w:tcPr>
            <w:tcW w:type="dxa" w:w="454"/>
          </w:tcPr>
          <w:p>
            <w:r/>
            <w:r>
              <w:rPr>
                <w:sz w:val="17"/>
              </w:rPr>
              <w:t>3</w:t>
            </w:r>
          </w:p>
        </w:tc>
        <w:tc>
          <w:tcPr>
            <w:tcW w:type="dxa" w:w="4649"/>
          </w:tcPr>
          <w:p>
            <w:r/>
            <w:r>
              <w:rPr>
                <w:sz w:val="17"/>
              </w:rPr>
              <w:t>Live payment gateway secret keys (PayMongo / Xendit) are stored in plain text in the venue_settings table; APP_DEBUG=true and LOG_LEVEL=debug, and full e-mail bodies were observed in laravel.log.</w:t>
            </w:r>
          </w:p>
        </w:tc>
        <w:tc>
          <w:tcPr>
            <w:tcW w:type="dxa" w:w="4535"/>
          </w:tcPr>
          <w:p>
            <w:r/>
            <w:r>
              <w:rPr>
                <w:sz w:val="17"/>
              </w:rPr>
              <w:t>A leak of the database, logs or a debug error page would expose credentials and personal data (Sec. 20(c) – technical security measures).</w:t>
            </w:r>
          </w:p>
        </w:tc>
      </w:tr>
    </w:tbl>
    <w:p>
      <w:pPr>
        <w:spacing w:after="40"/>
      </w:pPr>
    </w:p>
    <w:p>
      <w:pPr>
        <w:spacing w:after="80"/>
      </w:pPr>
      <w:r>
        <w:rPr>
          <w:b/>
          <w:i w:val="0"/>
        </w:rPr>
        <w:t>Summary of required additions by priority:</w:t>
      </w:r>
    </w:p>
    <w:tbl>
      <w:tblPr>
        <w:tblStyle w:val="TableGrid"/>
        <w:tblW w:type="auto" w:w="0"/>
        <w:jc w:val="center"/>
        <w:tblLook w:firstColumn="1" w:firstRow="1" w:lastColumn="0" w:lastRow="0" w:noHBand="0" w:noVBand="1" w:val="04A0"/>
      </w:tblPr>
      <w:tblGrid>
        <w:gridCol w:w="3324"/>
        <w:gridCol w:w="3324"/>
        <w:gridCol w:w="3324"/>
      </w:tblGrid>
      <w:tr>
        <w:tc>
          <w:tcPr>
            <w:tcW w:type="dxa" w:w="1701"/>
            <w:shd w:val="clear" w:color="auto" w:fill="0F172A"/>
          </w:tcPr>
          <w:p>
            <w:r/>
            <w:r>
              <w:rPr>
                <w:b/>
                <w:color w:val="FFFFFF"/>
                <w:sz w:val="18"/>
              </w:rPr>
              <w:t>Priority</w:t>
            </w:r>
          </w:p>
        </w:tc>
        <w:tc>
          <w:tcPr>
            <w:tcW w:type="dxa" w:w="1134"/>
            <w:shd w:val="clear" w:color="auto" w:fill="0F172A"/>
          </w:tcPr>
          <w:p>
            <w:r/>
            <w:r>
              <w:rPr>
                <w:b/>
                <w:color w:val="FFFFFF"/>
                <w:sz w:val="18"/>
              </w:rPr>
              <w:t>Count</w:t>
            </w:r>
          </w:p>
        </w:tc>
        <w:tc>
          <w:tcPr>
            <w:tcW w:type="dxa" w:w="6803"/>
            <w:shd w:val="clear" w:color="auto" w:fill="0F172A"/>
          </w:tcPr>
          <w:p>
            <w:r/>
            <w:r>
              <w:rPr>
                <w:b/>
                <w:color w:val="FFFFFF"/>
                <w:sz w:val="18"/>
              </w:rPr>
              <w:t>Meaning</w:t>
            </w:r>
          </w:p>
        </w:tc>
      </w:tr>
      <w:tr>
        <w:tc>
          <w:tcPr>
            <w:tcW w:type="dxa" w:w="1701"/>
            <w:shd w:val="clear" w:color="auto" w:fill="F8D7DA"/>
          </w:tcPr>
          <w:p>
            <w:r/>
            <w:r>
              <w:rPr>
                <w:b/>
                <w:sz w:val="18"/>
              </w:rPr>
              <w:t>Critical</w:t>
            </w:r>
          </w:p>
        </w:tc>
        <w:tc>
          <w:tcPr>
            <w:tcW w:type="dxa" w:w="1134"/>
          </w:tcPr>
          <w:p>
            <w:r/>
            <w:r>
              <w:rPr>
                <w:sz w:val="18"/>
              </w:rPr>
              <w:t>3</w:t>
            </w:r>
          </w:p>
        </w:tc>
        <w:tc>
          <w:tcPr>
            <w:tcW w:type="dxa" w:w="6803"/>
          </w:tcPr>
          <w:p>
            <w:r/>
            <w:r>
              <w:rPr>
                <w:sz w:val="18"/>
              </w:rPr>
              <w:t>Fix immediately – active exposure of personal data or credentials</w:t>
            </w:r>
          </w:p>
        </w:tc>
      </w:tr>
      <w:tr>
        <w:tc>
          <w:tcPr>
            <w:tcW w:type="dxa" w:w="1701"/>
            <w:shd w:val="clear" w:color="auto" w:fill="FDE2C8"/>
          </w:tcPr>
          <w:p>
            <w:r/>
            <w:r>
              <w:rPr>
                <w:b/>
                <w:sz w:val="18"/>
              </w:rPr>
              <w:t>High</w:t>
            </w:r>
          </w:p>
        </w:tc>
        <w:tc>
          <w:tcPr>
            <w:tcW w:type="dxa" w:w="1134"/>
          </w:tcPr>
          <w:p>
            <w:r/>
            <w:r>
              <w:rPr>
                <w:sz w:val="18"/>
              </w:rPr>
              <w:t>13</w:t>
            </w:r>
          </w:p>
        </w:tc>
        <w:tc>
          <w:tcPr>
            <w:tcW w:type="dxa" w:w="6803"/>
          </w:tcPr>
          <w:p>
            <w:r/>
            <w:r>
              <w:rPr>
                <w:sz w:val="18"/>
              </w:rPr>
              <w:t>Required for compliance; implement within 30 days</w:t>
            </w:r>
          </w:p>
        </w:tc>
      </w:tr>
      <w:tr>
        <w:tc>
          <w:tcPr>
            <w:tcW w:type="dxa" w:w="1701"/>
            <w:shd w:val="clear" w:color="auto" w:fill="FFF3CD"/>
          </w:tcPr>
          <w:p>
            <w:r/>
            <w:r>
              <w:rPr>
                <w:b/>
                <w:sz w:val="18"/>
              </w:rPr>
              <w:t>Medium</w:t>
            </w:r>
          </w:p>
        </w:tc>
        <w:tc>
          <w:tcPr>
            <w:tcW w:type="dxa" w:w="1134"/>
          </w:tcPr>
          <w:p>
            <w:r/>
            <w:r>
              <w:rPr>
                <w:sz w:val="18"/>
              </w:rPr>
              <w:t>14</w:t>
            </w:r>
          </w:p>
        </w:tc>
        <w:tc>
          <w:tcPr>
            <w:tcW w:type="dxa" w:w="6803"/>
          </w:tcPr>
          <w:p>
            <w:r/>
            <w:r>
              <w:rPr>
                <w:sz w:val="18"/>
              </w:rPr>
              <w:t>Required / strongly recommended; implement within 60–90 days</w:t>
            </w:r>
          </w:p>
        </w:tc>
      </w:tr>
      <w:tr>
        <w:tc>
          <w:tcPr>
            <w:tcW w:type="dxa" w:w="1701"/>
            <w:shd w:val="clear" w:color="auto" w:fill="D1E7DD"/>
          </w:tcPr>
          <w:p>
            <w:r/>
            <w:r>
              <w:rPr>
                <w:b/>
                <w:sz w:val="18"/>
              </w:rPr>
              <w:t>Low</w:t>
            </w:r>
          </w:p>
        </w:tc>
        <w:tc>
          <w:tcPr>
            <w:tcW w:type="dxa" w:w="1134"/>
          </w:tcPr>
          <w:p>
            <w:r/>
            <w:r>
              <w:rPr>
                <w:sz w:val="18"/>
              </w:rPr>
              <w:t>4</w:t>
            </w:r>
          </w:p>
        </w:tc>
        <w:tc>
          <w:tcPr>
            <w:tcW w:type="dxa" w:w="6803"/>
          </w:tcPr>
          <w:p>
            <w:r/>
            <w:r>
              <w:rPr>
                <w:sz w:val="18"/>
              </w:rPr>
              <w:t>Good practice; schedule as improvements</w:t>
            </w:r>
          </w:p>
        </w:tc>
      </w:tr>
    </w:tbl>
    <w:p>
      <w:pPr>
        <w:spacing w:after="40"/>
      </w:pPr>
    </w:p>
    <w:p>
      <w:pPr>
        <w:pStyle w:val="Heading1"/>
      </w:pPr>
      <w:r>
        <w:t>2. Applicable Provisions of RA 10173</w:t>
      </w:r>
    </w:p>
    <w:tbl>
      <w:tblPr>
        <w:tblStyle w:val="TableGrid"/>
        <w:tblW w:type="auto" w:w="0"/>
        <w:jc w:val="center"/>
        <w:tblLook w:firstColumn="1" w:firstRow="1" w:lastColumn="0" w:lastRow="0" w:noHBand="0" w:noVBand="1" w:val="04A0"/>
      </w:tblPr>
      <w:tblGrid>
        <w:gridCol w:w="3324"/>
        <w:gridCol w:w="3324"/>
        <w:gridCol w:w="3324"/>
      </w:tblGrid>
      <w:tr>
        <w:tc>
          <w:tcPr>
            <w:tcW w:type="dxa" w:w="1417"/>
            <w:shd w:val="clear" w:color="auto" w:fill="0F172A"/>
          </w:tcPr>
          <w:p>
            <w:r/>
            <w:r>
              <w:rPr>
                <w:b/>
                <w:color w:val="FFFFFF"/>
                <w:sz w:val="17"/>
              </w:rPr>
              <w:t>Provision</w:t>
            </w:r>
          </w:p>
        </w:tc>
        <w:tc>
          <w:tcPr>
            <w:tcW w:type="dxa" w:w="3685"/>
            <w:shd w:val="clear" w:color="auto" w:fill="0F172A"/>
          </w:tcPr>
          <w:p>
            <w:r/>
            <w:r>
              <w:rPr>
                <w:b/>
                <w:color w:val="FFFFFF"/>
                <w:sz w:val="17"/>
              </w:rPr>
              <w:t>Requirement (summary)</w:t>
            </w:r>
          </w:p>
        </w:tc>
        <w:tc>
          <w:tcPr>
            <w:tcW w:type="dxa" w:w="4535"/>
            <w:shd w:val="clear" w:color="auto" w:fill="0F172A"/>
          </w:tcPr>
          <w:p>
            <w:r/>
            <w:r>
              <w:rPr>
                <w:b/>
                <w:color w:val="FFFFFF"/>
                <w:sz w:val="17"/>
              </w:rPr>
              <w:t>Relevance to this system</w:t>
            </w:r>
          </w:p>
        </w:tc>
      </w:tr>
      <w:tr>
        <w:tc>
          <w:tcPr>
            <w:tcW w:type="dxa" w:w="1417"/>
          </w:tcPr>
          <w:p>
            <w:r/>
            <w:r>
              <w:rPr>
                <w:sz w:val="17"/>
              </w:rPr>
              <w:t>Sec. 3</w:t>
            </w:r>
          </w:p>
        </w:tc>
        <w:tc>
          <w:tcPr>
            <w:tcW w:type="dxa" w:w="3685"/>
          </w:tcPr>
          <w:p>
            <w:r/>
            <w:r>
              <w:rPr>
                <w:sz w:val="17"/>
              </w:rPr>
              <w:t>Definitions – personal information, sensitive personal information (SPI), PIC, PIP, consent</w:t>
            </w:r>
          </w:p>
        </w:tc>
        <w:tc>
          <w:tcPr>
            <w:tcW w:type="dxa" w:w="4535"/>
          </w:tcPr>
          <w:p>
            <w:r/>
            <w:r>
              <w:rPr>
                <w:sz w:val="17"/>
              </w:rPr>
              <w:t>Players' names, e-mails, mobile numbers, Google IDs, photos and receipts are personal information. The system currently does not intentionally collect SPI, but receipts may incidentally contain financial details.</w:t>
            </w:r>
          </w:p>
        </w:tc>
      </w:tr>
      <w:tr>
        <w:tc>
          <w:tcPr>
            <w:tcW w:type="dxa" w:w="1417"/>
          </w:tcPr>
          <w:p>
            <w:r/>
            <w:r>
              <w:rPr>
                <w:sz w:val="17"/>
              </w:rPr>
              <w:t>Sec. 11</w:t>
            </w:r>
          </w:p>
        </w:tc>
        <w:tc>
          <w:tcPr>
            <w:tcW w:type="dxa" w:w="3685"/>
          </w:tcPr>
          <w:p>
            <w:r/>
            <w:r>
              <w:rPr>
                <w:sz w:val="17"/>
              </w:rPr>
              <w:t>General data privacy principles: transparency, legitimate purpose, proportionality; data must be accurate, kept only as long as necessary, and securely disposed</w:t>
            </w:r>
          </w:p>
        </w:tc>
        <w:tc>
          <w:tcPr>
            <w:tcW w:type="dxa" w:w="4535"/>
          </w:tcPr>
          <w:p>
            <w:r/>
            <w:r>
              <w:rPr>
                <w:sz w:val="17"/>
              </w:rPr>
              <w:t>Requires a published retention schedule, data minimization, and disposal routines.</w:t>
            </w:r>
          </w:p>
        </w:tc>
      </w:tr>
      <w:tr>
        <w:tc>
          <w:tcPr>
            <w:tcW w:type="dxa" w:w="1417"/>
          </w:tcPr>
          <w:p>
            <w:r/>
            <w:r>
              <w:rPr>
                <w:sz w:val="17"/>
              </w:rPr>
              <w:t>Sec. 12</w:t>
            </w:r>
          </w:p>
        </w:tc>
        <w:tc>
          <w:tcPr>
            <w:tcW w:type="dxa" w:w="3685"/>
          </w:tcPr>
          <w:p>
            <w:r/>
            <w:r>
              <w:rPr>
                <w:sz w:val="17"/>
              </w:rPr>
              <w:t>Criteria for lawful processing (consent, contract, legal obligation, legitimate interest, etc.)</w:t>
            </w:r>
          </w:p>
        </w:tc>
        <w:tc>
          <w:tcPr>
            <w:tcW w:type="dxa" w:w="4535"/>
          </w:tcPr>
          <w:p>
            <w:r/>
            <w:r>
              <w:rPr>
                <w:sz w:val="17"/>
              </w:rPr>
              <w:t>Each processing activity (booking, wallet top-up, marketing e-mails, Google sign-in) must have a documented lawful basis.</w:t>
            </w:r>
          </w:p>
        </w:tc>
      </w:tr>
      <w:tr>
        <w:tc>
          <w:tcPr>
            <w:tcW w:type="dxa" w:w="1417"/>
          </w:tcPr>
          <w:p>
            <w:r/>
            <w:r>
              <w:rPr>
                <w:sz w:val="17"/>
              </w:rPr>
              <w:t>Sec. 16</w:t>
            </w:r>
          </w:p>
        </w:tc>
        <w:tc>
          <w:tcPr>
            <w:tcW w:type="dxa" w:w="3685"/>
          </w:tcPr>
          <w:p>
            <w:r/>
            <w:r>
              <w:rPr>
                <w:sz w:val="17"/>
              </w:rPr>
              <w:t>Rights of the data subject – to be informed, to access, to object, to correct, to erasure or blocking, to damages</w:t>
            </w:r>
          </w:p>
        </w:tc>
        <w:tc>
          <w:tcPr>
            <w:tcW w:type="dxa" w:w="4535"/>
          </w:tcPr>
          <w:p>
            <w:r/>
            <w:r>
              <w:rPr>
                <w:sz w:val="17"/>
              </w:rPr>
              <w:t>Needs in-app mechanisms and an owner-side request handling process.</w:t>
            </w:r>
          </w:p>
        </w:tc>
      </w:tr>
      <w:tr>
        <w:tc>
          <w:tcPr>
            <w:tcW w:type="dxa" w:w="1417"/>
          </w:tcPr>
          <w:p>
            <w:r/>
            <w:r>
              <w:rPr>
                <w:sz w:val="17"/>
              </w:rPr>
              <w:t>Sec. 17</w:t>
            </w:r>
          </w:p>
        </w:tc>
        <w:tc>
          <w:tcPr>
            <w:tcW w:type="dxa" w:w="3685"/>
          </w:tcPr>
          <w:p>
            <w:r/>
            <w:r>
              <w:rPr>
                <w:sz w:val="17"/>
              </w:rPr>
              <w:t>Transmissibility of rights to lawful heirs and assigns</w:t>
            </w:r>
          </w:p>
        </w:tc>
        <w:tc>
          <w:tcPr>
            <w:tcW w:type="dxa" w:w="4535"/>
          </w:tcPr>
          <w:p>
            <w:r/>
            <w:r>
              <w:rPr>
                <w:sz w:val="17"/>
              </w:rPr>
              <w:t>Request process should accept verified heir requests.</w:t>
            </w:r>
          </w:p>
        </w:tc>
      </w:tr>
      <w:tr>
        <w:tc>
          <w:tcPr>
            <w:tcW w:type="dxa" w:w="1417"/>
          </w:tcPr>
          <w:p>
            <w:r/>
            <w:r>
              <w:rPr>
                <w:sz w:val="17"/>
              </w:rPr>
              <w:t>Sec. 18</w:t>
            </w:r>
          </w:p>
        </w:tc>
        <w:tc>
          <w:tcPr>
            <w:tcW w:type="dxa" w:w="3685"/>
          </w:tcPr>
          <w:p>
            <w:r/>
            <w:r>
              <w:rPr>
                <w:sz w:val="17"/>
              </w:rPr>
              <w:t>Right to data portability – obtain a copy in an electronic, structured, commonly used format</w:t>
            </w:r>
          </w:p>
        </w:tc>
        <w:tc>
          <w:tcPr>
            <w:tcW w:type="dxa" w:w="4535"/>
          </w:tcPr>
          <w:p>
            <w:r/>
            <w:r>
              <w:rPr>
                <w:sz w:val="17"/>
              </w:rPr>
              <w:t>Requires a 'Download my data' feature (e.g., JSON / CSV).</w:t>
            </w:r>
          </w:p>
        </w:tc>
      </w:tr>
      <w:tr>
        <w:tc>
          <w:tcPr>
            <w:tcW w:type="dxa" w:w="1417"/>
          </w:tcPr>
          <w:p>
            <w:r/>
            <w:r>
              <w:rPr>
                <w:sz w:val="17"/>
              </w:rPr>
              <w:t>Sec. 20</w:t>
            </w:r>
          </w:p>
        </w:tc>
        <w:tc>
          <w:tcPr>
            <w:tcW w:type="dxa" w:w="3685"/>
          </w:tcPr>
          <w:p>
            <w:r/>
            <w:r>
              <w:rPr>
                <w:sz w:val="17"/>
              </w:rPr>
              <w:t>Security of personal information – organizational, physical and technical measures; breach notification</w:t>
            </w:r>
          </w:p>
        </w:tc>
        <w:tc>
          <w:tcPr>
            <w:tcW w:type="dxa" w:w="4535"/>
          </w:tcPr>
          <w:p>
            <w:r/>
            <w:r>
              <w:rPr>
                <w:sz w:val="17"/>
              </w:rPr>
              <w:t>Applies to file storage, encryption, access control, logging, staff confidentiality.</w:t>
            </w:r>
          </w:p>
        </w:tc>
      </w:tr>
      <w:tr>
        <w:tc>
          <w:tcPr>
            <w:tcW w:type="dxa" w:w="1417"/>
          </w:tcPr>
          <w:p>
            <w:r/>
            <w:r>
              <w:rPr>
                <w:sz w:val="17"/>
              </w:rPr>
              <w:t>Sec. 21</w:t>
            </w:r>
          </w:p>
        </w:tc>
        <w:tc>
          <w:tcPr>
            <w:tcW w:type="dxa" w:w="3685"/>
          </w:tcPr>
          <w:p>
            <w:r/>
            <w:r>
              <w:rPr>
                <w:sz w:val="17"/>
              </w:rPr>
              <w:t>Principle of accountability – PIC is responsible for data transferred to third parties, including cross-border; must designate accountable individual(s)</w:t>
            </w:r>
          </w:p>
        </w:tc>
        <w:tc>
          <w:tcPr>
            <w:tcW w:type="dxa" w:w="4535"/>
          </w:tcPr>
          <w:p>
            <w:r/>
            <w:r>
              <w:rPr>
                <w:sz w:val="17"/>
              </w:rPr>
              <w:t>Covers PayMongo, Xendit, Google, e-mail (SMTP/Gmail) and hosting providers; requires a DPO.</w:t>
            </w:r>
          </w:p>
        </w:tc>
      </w:tr>
      <w:tr>
        <w:tc>
          <w:tcPr>
            <w:tcW w:type="dxa" w:w="1417"/>
          </w:tcPr>
          <w:p>
            <w:r/>
            <w:r>
              <w:rPr>
                <w:sz w:val="17"/>
              </w:rPr>
              <w:t>Secs. 25–37</w:t>
            </w:r>
          </w:p>
        </w:tc>
        <w:tc>
          <w:tcPr>
            <w:tcW w:type="dxa" w:w="3685"/>
          </w:tcPr>
          <w:p>
            <w:r/>
            <w:r>
              <w:rPr>
                <w:sz w:val="17"/>
              </w:rPr>
              <w:t>Penalties (imprisonment and fines)</w:t>
            </w:r>
          </w:p>
        </w:tc>
        <w:tc>
          <w:tcPr>
            <w:tcW w:type="dxa" w:w="4535"/>
          </w:tcPr>
          <w:p>
            <w:r/>
            <w:r>
              <w:rPr>
                <w:sz w:val="17"/>
              </w:rPr>
              <w:t>See Annex A.</w:t>
            </w:r>
          </w:p>
        </w:tc>
      </w:tr>
      <w:tr>
        <w:tc>
          <w:tcPr>
            <w:tcW w:type="dxa" w:w="1417"/>
          </w:tcPr>
          <w:p>
            <w:r/>
            <w:r>
              <w:rPr>
                <w:sz w:val="17"/>
              </w:rPr>
              <w:t>IRR &amp; NPC Circulars</w:t>
            </w:r>
          </w:p>
        </w:tc>
        <w:tc>
          <w:tcPr>
            <w:tcW w:type="dxa" w:w="3685"/>
          </w:tcPr>
          <w:p>
            <w:r/>
            <w:r>
              <w:rPr>
                <w:sz w:val="17"/>
              </w:rPr>
              <w:t>IRR of RA 10173 (2016); NPC Circular 16-03 (Personal Data Breach Management); NPC Circular on Registration of Data Processing Systems; NPC Circular on Consent; NPC Circular on Security of Personal Data</w:t>
            </w:r>
          </w:p>
        </w:tc>
        <w:tc>
          <w:tcPr>
            <w:tcW w:type="dxa" w:w="4535"/>
          </w:tcPr>
          <w:p>
            <w:r/>
            <w:r>
              <w:rPr>
                <w:sz w:val="17"/>
              </w:rPr>
              <w:t>Operational detail for DPO, registration, breach handling (72-hour notification), consent and security. Verify the latest versions on privacy.gov.ph.</w:t>
            </w:r>
          </w:p>
        </w:tc>
      </w:tr>
    </w:tbl>
    <w:p>
      <w:pPr>
        <w:spacing w:after="40"/>
      </w:pPr>
    </w:p>
    <w:p>
      <w:pPr>
        <w:pStyle w:val="Heading1"/>
      </w:pPr>
      <w:r>
        <w:t>3. Personal Data Inventory (Current System)</w:t>
      </w:r>
    </w:p>
    <w:p>
      <w:pPr>
        <w:spacing w:after="80"/>
      </w:pPr>
      <w:r>
        <w:rPr>
          <w:b w:val="0"/>
          <w:i w:val="0"/>
        </w:rPr>
        <w:t>Identified from the database migrations, models and controllers: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701"/>
            <w:shd w:val="clear" w:color="auto" w:fill="0F172A"/>
          </w:tcPr>
          <w:p>
            <w:r/>
            <w:r>
              <w:rPr>
                <w:b/>
                <w:color w:val="FFFFFF"/>
                <w:sz w:val="17"/>
              </w:rPr>
              <w:t>Data subject</w:t>
            </w:r>
          </w:p>
        </w:tc>
        <w:tc>
          <w:tcPr>
            <w:tcW w:type="dxa" w:w="3118"/>
            <w:shd w:val="clear" w:color="auto" w:fill="0F172A"/>
          </w:tcPr>
          <w:p>
            <w:r/>
            <w:r>
              <w:rPr>
                <w:b/>
                <w:color w:val="FFFFFF"/>
                <w:sz w:val="17"/>
              </w:rPr>
              <w:t>Personal data collected</w:t>
            </w:r>
          </w:p>
        </w:tc>
        <w:tc>
          <w:tcPr>
            <w:tcW w:type="dxa" w:w="2551"/>
            <w:shd w:val="clear" w:color="auto" w:fill="0F172A"/>
          </w:tcPr>
          <w:p>
            <w:r/>
            <w:r>
              <w:rPr>
                <w:b/>
                <w:color w:val="FFFFFF"/>
                <w:sz w:val="17"/>
              </w:rPr>
              <w:t>Where stored</w:t>
            </w:r>
          </w:p>
        </w:tc>
        <w:tc>
          <w:tcPr>
            <w:tcW w:type="dxa" w:w="2268"/>
            <w:shd w:val="clear" w:color="auto" w:fill="0F172A"/>
          </w:tcPr>
          <w:p>
            <w:r/>
            <w:r>
              <w:rPr>
                <w:b/>
                <w:color w:val="FFFFFF"/>
                <w:sz w:val="17"/>
              </w:rPr>
              <w:t>Purpose</w:t>
            </w:r>
          </w:p>
        </w:tc>
      </w:tr>
      <w:tr>
        <w:tc>
          <w:tcPr>
            <w:tcW w:type="dxa" w:w="1701"/>
          </w:tcPr>
          <w:p>
            <w:r/>
            <w:r>
              <w:rPr>
                <w:sz w:val="17"/>
              </w:rPr>
              <w:t>Registered players</w:t>
            </w:r>
          </w:p>
        </w:tc>
        <w:tc>
          <w:tcPr>
            <w:tcW w:type="dxa" w:w="3118"/>
          </w:tcPr>
          <w:p>
            <w:r/>
            <w:r>
              <w:rPr>
                <w:sz w:val="17"/>
              </w:rPr>
              <w:t>Name, e-mail, phone, password hash, Google ID / Facebook ID, avatar, wallet credits, role, active status, deactivation reason</w:t>
            </w:r>
          </w:p>
        </w:tc>
        <w:tc>
          <w:tcPr>
            <w:tcW w:type="dxa" w:w="2551"/>
          </w:tcPr>
          <w:p>
            <w:r/>
            <w:r>
              <w:rPr>
                <w:sz w:val="17"/>
              </w:rPr>
              <w:t>users table; storage/app/public/avatars</w:t>
            </w:r>
          </w:p>
        </w:tc>
        <w:tc>
          <w:tcPr>
            <w:tcW w:type="dxa" w:w="2268"/>
          </w:tcPr>
          <w:p>
            <w:r/>
            <w:r>
              <w:rPr>
                <w:sz w:val="17"/>
              </w:rPr>
              <w:t>Account, authentication, bookings, wallet</w:t>
            </w:r>
          </w:p>
        </w:tc>
      </w:tr>
      <w:tr>
        <w:tc>
          <w:tcPr>
            <w:tcW w:type="dxa" w:w="1701"/>
          </w:tcPr>
          <w:p>
            <w:r/>
            <w:r>
              <w:rPr>
                <w:sz w:val="17"/>
              </w:rPr>
              <w:t>Guest bookers</w:t>
            </w:r>
          </w:p>
        </w:tc>
        <w:tc>
          <w:tcPr>
            <w:tcW w:type="dxa" w:w="3118"/>
          </w:tcPr>
          <w:p>
            <w:r/>
            <w:r>
              <w:rPr>
                <w:sz w:val="17"/>
              </w:rPr>
              <w:t>Customer name, mobile number, e-mail (optional)</w:t>
            </w:r>
          </w:p>
        </w:tc>
        <w:tc>
          <w:tcPr>
            <w:tcW w:type="dxa" w:w="2551"/>
          </w:tcPr>
          <w:p>
            <w:r/>
            <w:r>
              <w:rPr>
                <w:sz w:val="17"/>
              </w:rPr>
              <w:t>bookings table</w:t>
            </w:r>
          </w:p>
        </w:tc>
        <w:tc>
          <w:tcPr>
            <w:tcW w:type="dxa" w:w="2268"/>
          </w:tcPr>
          <w:p>
            <w:r/>
            <w:r>
              <w:rPr>
                <w:sz w:val="17"/>
              </w:rPr>
              <w:t>Reservation, confirmation e-mail, tracking</w:t>
            </w:r>
          </w:p>
        </w:tc>
      </w:tr>
      <w:tr>
        <w:tc>
          <w:tcPr>
            <w:tcW w:type="dxa" w:w="1701"/>
          </w:tcPr>
          <w:p>
            <w:r/>
            <w:r>
              <w:rPr>
                <w:sz w:val="17"/>
              </w:rPr>
              <w:t>Players &amp; guests</w:t>
            </w:r>
          </w:p>
        </w:tc>
        <w:tc>
          <w:tcPr>
            <w:tcW w:type="dxa" w:w="3118"/>
          </w:tcPr>
          <w:p>
            <w:r/>
            <w:r>
              <w:rPr>
                <w:sz w:val="17"/>
              </w:rPr>
              <w:t>Booking history (court, date, time, amount, payment method, reference)</w:t>
            </w:r>
          </w:p>
        </w:tc>
        <w:tc>
          <w:tcPr>
            <w:tcW w:type="dxa" w:w="2551"/>
          </w:tcPr>
          <w:p>
            <w:r/>
            <w:r>
              <w:rPr>
                <w:sz w:val="17"/>
              </w:rPr>
              <w:t>bookings, booking_slots</w:t>
            </w:r>
          </w:p>
        </w:tc>
        <w:tc>
          <w:tcPr>
            <w:tcW w:type="dxa" w:w="2268"/>
          </w:tcPr>
          <w:p>
            <w:r/>
            <w:r>
              <w:rPr>
                <w:sz w:val="17"/>
              </w:rPr>
              <w:t>Reservation management, earnings reports</w:t>
            </w:r>
          </w:p>
        </w:tc>
      </w:tr>
      <w:tr>
        <w:tc>
          <w:tcPr>
            <w:tcW w:type="dxa" w:w="1701"/>
          </w:tcPr>
          <w:p>
            <w:r/>
            <w:r>
              <w:rPr>
                <w:sz w:val="17"/>
              </w:rPr>
              <w:t>Players &amp; guests</w:t>
            </w:r>
          </w:p>
        </w:tc>
        <w:tc>
          <w:tcPr>
            <w:tcW w:type="dxa" w:w="3118"/>
          </w:tcPr>
          <w:p>
            <w:r/>
            <w:r>
              <w:rPr>
                <w:sz w:val="17"/>
              </w:rPr>
              <w:t>Proof-of-payment screenshots (GCash/Maya/bank)</w:t>
            </w:r>
          </w:p>
        </w:tc>
        <w:tc>
          <w:tcPr>
            <w:tcW w:type="dxa" w:w="2551"/>
          </w:tcPr>
          <w:p>
            <w:r/>
            <w:r>
              <w:rPr>
                <w:sz w:val="17"/>
              </w:rPr>
              <w:t>storage/app/public/receipts, credit_receipts (PUBLIC)</w:t>
            </w:r>
          </w:p>
        </w:tc>
        <w:tc>
          <w:tcPr>
            <w:tcW w:type="dxa" w:w="2268"/>
          </w:tcPr>
          <w:p>
            <w:r/>
            <w:r>
              <w:rPr>
                <w:sz w:val="17"/>
              </w:rPr>
              <w:t>Manual payment verification</w:t>
            </w:r>
          </w:p>
        </w:tc>
      </w:tr>
      <w:tr>
        <w:tc>
          <w:tcPr>
            <w:tcW w:type="dxa" w:w="1701"/>
          </w:tcPr>
          <w:p>
            <w:r/>
            <w:r>
              <w:rPr>
                <w:sz w:val="17"/>
              </w:rPr>
              <w:t>Players</w:t>
            </w:r>
          </w:p>
        </w:tc>
        <w:tc>
          <w:tcPr>
            <w:tcW w:type="dxa" w:w="3118"/>
          </w:tcPr>
          <w:p>
            <w:r/>
            <w:r>
              <w:rPr>
                <w:sz w:val="17"/>
              </w:rPr>
              <w:t>Credit top-ups, wallet transactions, customer notes, rejection reasons</w:t>
            </w:r>
          </w:p>
        </w:tc>
        <w:tc>
          <w:tcPr>
            <w:tcW w:type="dxa" w:w="2551"/>
          </w:tcPr>
          <w:p>
            <w:r/>
            <w:r>
              <w:rPr>
                <w:sz w:val="17"/>
              </w:rPr>
              <w:t>credit_topups, credit_transactions</w:t>
            </w:r>
          </w:p>
        </w:tc>
        <w:tc>
          <w:tcPr>
            <w:tcW w:type="dxa" w:w="2268"/>
          </w:tcPr>
          <w:p>
            <w:r/>
            <w:r>
              <w:rPr>
                <w:sz w:val="17"/>
              </w:rPr>
              <w:t>Wallet credits, audit trail</w:t>
            </w:r>
          </w:p>
        </w:tc>
      </w:tr>
      <w:tr>
        <w:tc>
          <w:tcPr>
            <w:tcW w:type="dxa" w:w="1701"/>
          </w:tcPr>
          <w:p>
            <w:r/>
            <w:r>
              <w:rPr>
                <w:sz w:val="17"/>
              </w:rPr>
              <w:t>Owners / admin assistants</w:t>
            </w:r>
          </w:p>
        </w:tc>
        <w:tc>
          <w:tcPr>
            <w:tcW w:type="dxa" w:w="3118"/>
          </w:tcPr>
          <w:p>
            <w:r/>
            <w:r>
              <w:rPr>
                <w:sz w:val="17"/>
              </w:rPr>
              <w:t>Name, e-mail, phone, permissions, approval actions</w:t>
            </w:r>
          </w:p>
        </w:tc>
        <w:tc>
          <w:tcPr>
            <w:tcW w:type="dxa" w:w="2551"/>
          </w:tcPr>
          <w:p>
            <w:r/>
            <w:r>
              <w:rPr>
                <w:sz w:val="17"/>
              </w:rPr>
              <w:t>users; approved_by fields</w:t>
            </w:r>
          </w:p>
        </w:tc>
        <w:tc>
          <w:tcPr>
            <w:tcW w:type="dxa" w:w="2268"/>
          </w:tcPr>
          <w:p>
            <w:r/>
            <w:r>
              <w:rPr>
                <w:sz w:val="17"/>
              </w:rPr>
              <w:t>Portal access, accountability</w:t>
            </w:r>
          </w:p>
        </w:tc>
      </w:tr>
      <w:tr>
        <w:tc>
          <w:tcPr>
            <w:tcW w:type="dxa" w:w="1701"/>
          </w:tcPr>
          <w:p>
            <w:r/>
            <w:r>
              <w:rPr>
                <w:sz w:val="17"/>
              </w:rPr>
              <w:t>All visitors</w:t>
            </w:r>
          </w:p>
        </w:tc>
        <w:tc>
          <w:tcPr>
            <w:tcW w:type="dxa" w:w="3118"/>
          </w:tcPr>
          <w:p>
            <w:r/>
            <w:r>
              <w:rPr>
                <w:sz w:val="17"/>
              </w:rPr>
              <w:t>Session ID, IP address, user agent</w:t>
            </w:r>
          </w:p>
        </w:tc>
        <w:tc>
          <w:tcPr>
            <w:tcW w:type="dxa" w:w="2551"/>
          </w:tcPr>
          <w:p>
            <w:r/>
            <w:r>
              <w:rPr>
                <w:sz w:val="17"/>
              </w:rPr>
              <w:t>sessions table (database driver)</w:t>
            </w:r>
          </w:p>
        </w:tc>
        <w:tc>
          <w:tcPr>
            <w:tcW w:type="dxa" w:w="2268"/>
          </w:tcPr>
          <w:p>
            <w:r/>
            <w:r>
              <w:rPr>
                <w:sz w:val="17"/>
              </w:rPr>
              <w:t>Session management, security</w:t>
            </w:r>
          </w:p>
        </w:tc>
      </w:tr>
      <w:tr>
        <w:tc>
          <w:tcPr>
            <w:tcW w:type="dxa" w:w="1701"/>
          </w:tcPr>
          <w:p>
            <w:r/>
            <w:r>
              <w:rPr>
                <w:sz w:val="17"/>
              </w:rPr>
              <w:t>All users</w:t>
            </w:r>
          </w:p>
        </w:tc>
        <w:tc>
          <w:tcPr>
            <w:tcW w:type="dxa" w:w="3118"/>
          </w:tcPr>
          <w:p>
            <w:r/>
            <w:r>
              <w:rPr>
                <w:sz w:val="17"/>
              </w:rPr>
              <w:t>Outgoing e-mail content (name, booking details)</w:t>
            </w:r>
          </w:p>
        </w:tc>
        <w:tc>
          <w:tcPr>
            <w:tcW w:type="dxa" w:w="2551"/>
          </w:tcPr>
          <w:p>
            <w:r/>
            <w:r>
              <w:rPr>
                <w:sz w:val="17"/>
              </w:rPr>
              <w:t>SMTP provider; laravel.log (observed)</w:t>
            </w:r>
          </w:p>
        </w:tc>
        <w:tc>
          <w:tcPr>
            <w:tcW w:type="dxa" w:w="2268"/>
          </w:tcPr>
          <w:p>
            <w:r/>
            <w:r>
              <w:rPr>
                <w:sz w:val="17"/>
              </w:rPr>
              <w:t>Notifications</w:t>
            </w:r>
          </w:p>
        </w:tc>
      </w:tr>
      <w:tr>
        <w:tc>
          <w:tcPr>
            <w:tcW w:type="dxa" w:w="1701"/>
          </w:tcPr>
          <w:p>
            <w:r/>
            <w:r>
              <w:rPr>
                <w:sz w:val="17"/>
              </w:rPr>
              <w:t>Players (via gateways)</w:t>
            </w:r>
          </w:p>
        </w:tc>
        <w:tc>
          <w:tcPr>
            <w:tcW w:type="dxa" w:w="3118"/>
          </w:tcPr>
          <w:p>
            <w:r/>
            <w:r>
              <w:rPr>
                <w:sz w:val="17"/>
              </w:rPr>
              <w:t>Checkout IDs, payment status</w:t>
            </w:r>
          </w:p>
        </w:tc>
        <w:tc>
          <w:tcPr>
            <w:tcW w:type="dxa" w:w="2551"/>
          </w:tcPr>
          <w:p>
            <w:r/>
            <w:r>
              <w:rPr>
                <w:sz w:val="17"/>
              </w:rPr>
              <w:t>bookings (paymongo_checkout_id, xendit fields); PayMongo / Xendit</w:t>
            </w:r>
          </w:p>
        </w:tc>
        <w:tc>
          <w:tcPr>
            <w:tcW w:type="dxa" w:w="2268"/>
          </w:tcPr>
          <w:p>
            <w:r/>
            <w:r>
              <w:rPr>
                <w:sz w:val="17"/>
              </w:rPr>
              <w:t>Online payment processing</w:t>
            </w:r>
          </w:p>
        </w:tc>
      </w:tr>
    </w:tbl>
    <w:p>
      <w:pPr>
        <w:spacing w:after="40"/>
      </w:pPr>
    </w:p>
    <w:p>
      <w:pPr>
        <w:pStyle w:val="Heading1"/>
      </w:pPr>
      <w:r>
        <w:t>4. Controls Already in Place</w:t>
      </w:r>
    </w:p>
    <w:p>
      <w:pPr>
        <w:pStyle w:val="ListBullet"/>
        <w:spacing w:after="40"/>
      </w:pPr>
      <w:r>
        <w:rPr>
          <w:b/>
        </w:rPr>
        <w:t xml:space="preserve">Privacy Policy page </w:t>
      </w:r>
      <w:r>
        <w:t>(/privacy) describing data collected, Google OAuth limited use, and a reference to RA 10173 rights.</w:t>
      </w:r>
    </w:p>
    <w:p>
      <w:pPr>
        <w:pStyle w:val="ListBullet"/>
        <w:spacing w:after="40"/>
      </w:pPr>
      <w:r>
        <w:rPr>
          <w:b/>
        </w:rPr>
        <w:t xml:space="preserve">Terms page </w:t>
      </w:r>
      <w:r>
        <w:t>(/terms).</w:t>
      </w:r>
    </w:p>
    <w:p>
      <w:pPr>
        <w:pStyle w:val="ListBullet"/>
        <w:spacing w:after="40"/>
      </w:pPr>
      <w:r>
        <w:rPr>
          <w:b/>
        </w:rPr>
        <w:t xml:space="preserve">Password security: </w:t>
      </w:r>
      <w:r>
        <w:t>bcrypt hashing (BCRYPT_ROUNDS=12), password hidden from serialization.</w:t>
      </w:r>
    </w:p>
    <w:p>
      <w:pPr>
        <w:pStyle w:val="ListBullet"/>
        <w:spacing w:after="40"/>
      </w:pPr>
      <w:r>
        <w:rPr>
          <w:b/>
        </w:rPr>
        <w:t xml:space="preserve">CSRF protection </w:t>
      </w:r>
      <w:r>
        <w:t>on all forms (Laravel default).</w:t>
      </w:r>
    </w:p>
    <w:p>
      <w:pPr>
        <w:pStyle w:val="ListBullet"/>
        <w:spacing w:after="40"/>
      </w:pPr>
      <w:r>
        <w:rPr>
          <w:b/>
        </w:rPr>
        <w:t xml:space="preserve">Role-based access control: </w:t>
      </w:r>
      <w:r>
        <w:t>client, admin assistant (module permissions), court owner, admin; assistants cannot modify owners/admins.</w:t>
      </w:r>
    </w:p>
    <w:p>
      <w:pPr>
        <w:pStyle w:val="ListBullet"/>
        <w:spacing w:after="40"/>
      </w:pPr>
      <w:r>
        <w:rPr>
          <w:b/>
        </w:rPr>
        <w:t xml:space="preserve">Account deactivation </w:t>
      </w:r>
      <w:r>
        <w:t>with a recorded deactivation reason.</w:t>
      </w:r>
    </w:p>
    <w:p>
      <w:pPr>
        <w:pStyle w:val="ListBullet"/>
        <w:spacing w:after="40"/>
      </w:pPr>
      <w:r>
        <w:rPr>
          <w:b/>
        </w:rPr>
        <w:t xml:space="preserve">Audit trail for wallet credits: </w:t>
      </w:r>
      <w:r>
        <w:t>credit_transactions ledger records who adjusted credits and why.</w:t>
      </w:r>
    </w:p>
    <w:p>
      <w:pPr>
        <w:pStyle w:val="ListBullet"/>
        <w:spacing w:after="40"/>
      </w:pPr>
      <w:r>
        <w:rPr>
          <w:b/>
        </w:rPr>
        <w:t xml:space="preserve">Session expiry </w:t>
      </w:r>
      <w:r>
        <w:t>after 120 minutes of inactivity; sessions stored server-side.</w:t>
      </w:r>
    </w:p>
    <w:p>
      <w:pPr>
        <w:pStyle w:val="ListBullet"/>
        <w:spacing w:after="40"/>
      </w:pPr>
      <w:r>
        <w:rPr>
          <w:b/>
        </w:rPr>
        <w:t xml:space="preserve">Limited OAuth scopes </w:t>
      </w:r>
      <w:r>
        <w:t>(openid, email, profile).</w:t>
      </w:r>
    </w:p>
    <w:p>
      <w:pPr>
        <w:pStyle w:val="Heading1"/>
      </w:pPr>
      <w:r>
        <w:t>5. Gap Analysis – What Must Be Added</w:t>
      </w:r>
    </w:p>
    <w:p>
      <w:pPr>
        <w:spacing w:after="80"/>
      </w:pPr>
      <w:r>
        <w:rPr>
          <w:b w:val="0"/>
          <w:i w:val="0"/>
        </w:rPr>
        <w:t>Each item states the legal basis, the current state of the system, and the specific addition required.</w:t>
      </w:r>
    </w:p>
    <w:p>
      <w:pPr>
        <w:pStyle w:val="Heading2"/>
      </w:pPr>
      <w:r>
        <w:t>5.1 Security of Personal Data (Sec. 20)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S-01</w:t>
            </w:r>
          </w:p>
        </w:tc>
        <w:tc>
          <w:tcPr>
            <w:tcW w:type="dxa" w:w="1361"/>
          </w:tcPr>
          <w:p>
            <w:r/>
            <w:r>
              <w:rPr>
                <w:sz w:val="16"/>
              </w:rPr>
              <w:t>Sec. 20(a),(c); Sec. 26</w:t>
            </w:r>
          </w:p>
        </w:tc>
        <w:tc>
          <w:tcPr>
            <w:tcW w:type="dxa" w:w="2721"/>
          </w:tcPr>
          <w:p>
            <w:r/>
            <w:r>
              <w:rPr>
                <w:sz w:val="16"/>
              </w:rPr>
              <w:t>Payment receipts and credit receipts are saved with -&gt;store('receipts', 'public') and served via /storage/... with no authentication.</w:t>
            </w:r>
          </w:p>
        </w:tc>
        <w:tc>
          <w:tcPr>
            <w:tcW w:type="dxa" w:w="3969"/>
          </w:tcPr>
          <w:p>
            <w:r/>
            <w:r>
              <w:rPr>
                <w:sz w:val="16"/>
              </w:rPr>
              <w:t>Move receipts to a private disk (storage/app/private). Serve them only through an authenticated controller route that checks the viewer is the booking owner, court owner, or an assistant with the approvals permission. Migrate existing files and remove them from public storage.</w:t>
            </w:r>
          </w:p>
        </w:tc>
        <w:tc>
          <w:tcPr>
            <w:tcW w:type="dxa" w:w="1020"/>
            <w:shd w:val="clear" w:color="auto" w:fill="F8D7DA"/>
          </w:tcPr>
          <w:p>
            <w:r/>
            <w:r>
              <w:rPr>
                <w:b/>
                <w:sz w:val="16"/>
              </w:rPr>
              <w:t>Critical</w:t>
            </w:r>
          </w:p>
        </w:tc>
      </w:tr>
      <w:tr>
        <w:tc>
          <w:tcPr>
            <w:tcW w:type="dxa" w:w="680"/>
          </w:tcPr>
          <w:p>
            <w:r/>
            <w:r>
              <w:rPr>
                <w:sz w:val="16"/>
              </w:rPr>
              <w:t>S-02</w:t>
            </w:r>
          </w:p>
        </w:tc>
        <w:tc>
          <w:tcPr>
            <w:tcW w:type="dxa" w:w="1361"/>
          </w:tcPr>
          <w:p>
            <w:r/>
            <w:r>
              <w:rPr>
                <w:sz w:val="16"/>
              </w:rPr>
              <w:t>Sec. 20; Sec. 32</w:t>
            </w:r>
          </w:p>
        </w:tc>
        <w:tc>
          <w:tcPr>
            <w:tcW w:type="dxa" w:w="2721"/>
          </w:tcPr>
          <w:p>
            <w:r/>
            <w:r>
              <w:rPr>
                <w:sz w:val="16"/>
              </w:rPr>
              <w:t>booking_reference is included in the public slot availability payload (BookingService) and in CourtSlotsUpdated broadcasts on public channels 'courts' / 'courts.{date}'. /track/{reference} shows customer name and phone to anyone.</w:t>
            </w:r>
          </w:p>
        </w:tc>
        <w:tc>
          <w:tcPr>
            <w:tcW w:type="dxa" w:w="3969"/>
          </w:tcPr>
          <w:p>
            <w:r/>
            <w:r>
              <w:rPr>
                <w:sz w:val="16"/>
              </w:rPr>
              <w:t>Remove booking_reference (and any customer data) from public availability JSON and public broadcasts. On the tracker page, mask personal data (e.g., 'J*** D***', '0917-***-**33') unless the viewer is the logged-in owner of the booking or verifies via e-mail/phone + reference. Use longer, non-guessable references or signed URLs for e-mail links.</w:t>
            </w:r>
          </w:p>
        </w:tc>
        <w:tc>
          <w:tcPr>
            <w:tcW w:type="dxa" w:w="1020"/>
            <w:shd w:val="clear" w:color="auto" w:fill="F8D7DA"/>
          </w:tcPr>
          <w:p>
            <w:r/>
            <w:r>
              <w:rPr>
                <w:b/>
                <w:sz w:val="16"/>
              </w:rPr>
              <w:t>Critical</w:t>
            </w:r>
          </w:p>
        </w:tc>
      </w:tr>
      <w:tr>
        <w:tc>
          <w:tcPr>
            <w:tcW w:type="dxa" w:w="680"/>
          </w:tcPr>
          <w:p>
            <w:r/>
            <w:r>
              <w:rPr>
                <w:sz w:val="16"/>
              </w:rPr>
              <w:t>S-03</w:t>
            </w:r>
          </w:p>
        </w:tc>
        <w:tc>
          <w:tcPr>
            <w:tcW w:type="dxa" w:w="1361"/>
          </w:tcPr>
          <w:p>
            <w:r/>
            <w:r>
              <w:rPr>
                <w:sz w:val="16"/>
              </w:rPr>
              <w:t>Sec. 20(c)</w:t>
            </w:r>
          </w:p>
        </w:tc>
        <w:tc>
          <w:tcPr>
            <w:tcW w:type="dxa" w:w="2721"/>
          </w:tcPr>
          <w:p>
            <w:r/>
            <w:r>
              <w:rPr>
                <w:sz w:val="16"/>
              </w:rPr>
              <w:t>PayMongo/Xendit secret keys and webhook tokens stored in plain text in venue_settings.</w:t>
            </w:r>
          </w:p>
        </w:tc>
        <w:tc>
          <w:tcPr>
            <w:tcW w:type="dxa" w:w="3969"/>
          </w:tcPr>
          <w:p>
            <w:r/>
            <w:r>
              <w:rPr>
                <w:sz w:val="16"/>
              </w:rPr>
              <w:t>Apply Laravel 'encrypted' casts to all secret/token columns (or move them to .env / a secrets manager). Mask them in the settings UI (show only last 4 characters).</w:t>
            </w:r>
          </w:p>
        </w:tc>
        <w:tc>
          <w:tcPr>
            <w:tcW w:type="dxa" w:w="1020"/>
            <w:shd w:val="clear" w:color="auto" w:fill="F8D7DA"/>
          </w:tcPr>
          <w:p>
            <w:r/>
            <w:r>
              <w:rPr>
                <w:b/>
                <w:sz w:val="16"/>
              </w:rPr>
              <w:t>Critical</w:t>
            </w:r>
          </w:p>
        </w:tc>
      </w:tr>
      <w:tr>
        <w:tc>
          <w:tcPr>
            <w:tcW w:type="dxa" w:w="680"/>
          </w:tcPr>
          <w:p>
            <w:r/>
            <w:r>
              <w:rPr>
                <w:sz w:val="16"/>
              </w:rPr>
              <w:t>S-04</w:t>
            </w:r>
          </w:p>
        </w:tc>
        <w:tc>
          <w:tcPr>
            <w:tcW w:type="dxa" w:w="1361"/>
          </w:tcPr>
          <w:p>
            <w:r/>
            <w:r>
              <w:rPr>
                <w:sz w:val="16"/>
              </w:rPr>
              <w:t>Sec. 20(c)</w:t>
            </w:r>
          </w:p>
        </w:tc>
        <w:tc>
          <w:tcPr>
            <w:tcW w:type="dxa" w:w="2721"/>
          </w:tcPr>
          <w:p>
            <w:r/>
            <w:r>
              <w:rPr>
                <w:sz w:val="16"/>
              </w:rPr>
              <w:t>APP_DEBUG=true, LOG_LEVEL=debug; full e-mail bodies with personal data appeared in storage/logs/laravel.log.</w:t>
            </w:r>
          </w:p>
        </w:tc>
        <w:tc>
          <w:tcPr>
            <w:tcW w:type="dxa" w:w="3969"/>
          </w:tcPr>
          <w:p>
            <w:r/>
            <w:r>
              <w:rPr>
                <w:sz w:val="16"/>
              </w:rPr>
              <w:t>Production: APP_DEBUG=false, LOG_LEVEL=warning or error, never log full mail bodies; add log rotation (daily channel, e.g., 14-day retention) and restrict log file permissions.</w:t>
            </w:r>
          </w:p>
        </w:tc>
        <w:tc>
          <w:tcPr>
            <w:tcW w:type="dxa" w:w="1020"/>
            <w:shd w:val="clear" w:color="auto" w:fill="FDE2C8"/>
          </w:tcPr>
          <w:p>
            <w:r/>
            <w:r>
              <w:rPr>
                <w:b/>
                <w:sz w:val="16"/>
              </w:rPr>
              <w:t>High</w:t>
            </w:r>
          </w:p>
        </w:tc>
      </w:tr>
      <w:tr>
        <w:tc>
          <w:tcPr>
            <w:tcW w:type="dxa" w:w="680"/>
          </w:tcPr>
          <w:p>
            <w:r/>
            <w:r>
              <w:rPr>
                <w:sz w:val="16"/>
              </w:rPr>
              <w:t>S-05</w:t>
            </w:r>
          </w:p>
        </w:tc>
        <w:tc>
          <w:tcPr>
            <w:tcW w:type="dxa" w:w="1361"/>
          </w:tcPr>
          <w:p>
            <w:r/>
            <w:r>
              <w:rPr>
                <w:sz w:val="16"/>
              </w:rPr>
              <w:t>Sec. 20(c)</w:t>
            </w:r>
          </w:p>
        </w:tc>
        <w:tc>
          <w:tcPr>
            <w:tcW w:type="dxa" w:w="2721"/>
          </w:tcPr>
          <w:p>
            <w:r/>
            <w:r>
              <w:rPr>
                <w:sz w:val="16"/>
              </w:rPr>
              <w:t>SESSION_ENCRYPT=false; APP_URL is http.</w:t>
            </w:r>
          </w:p>
        </w:tc>
        <w:tc>
          <w:tcPr>
            <w:tcW w:type="dxa" w:w="3969"/>
          </w:tcPr>
          <w:p>
            <w:r/>
            <w:r>
              <w:rPr>
                <w:sz w:val="16"/>
              </w:rPr>
              <w:t>Enforce HTTPS (redirect + HSTS header), set SESSION_ENCRYPT=true, SESSION_SECURE_COOKIE=true, same_site=lax/strict.</w:t>
            </w:r>
          </w:p>
        </w:tc>
        <w:tc>
          <w:tcPr>
            <w:tcW w:type="dxa" w:w="1020"/>
            <w:shd w:val="clear" w:color="auto" w:fill="FDE2C8"/>
          </w:tcPr>
          <w:p>
            <w:r/>
            <w:r>
              <w:rPr>
                <w:b/>
                <w:sz w:val="16"/>
              </w:rPr>
              <w:t>High</w:t>
            </w:r>
          </w:p>
        </w:tc>
      </w:tr>
      <w:tr>
        <w:tc>
          <w:tcPr>
            <w:tcW w:type="dxa" w:w="680"/>
          </w:tcPr>
          <w:p>
            <w:r/>
            <w:r>
              <w:rPr>
                <w:sz w:val="16"/>
              </w:rPr>
              <w:t>S-06</w:t>
            </w:r>
          </w:p>
        </w:tc>
        <w:tc>
          <w:tcPr>
            <w:tcW w:type="dxa" w:w="1361"/>
          </w:tcPr>
          <w:p>
            <w:r/>
            <w:r>
              <w:rPr>
                <w:sz w:val="16"/>
              </w:rPr>
              <w:t>Sec. 20(c)</w:t>
            </w:r>
          </w:p>
        </w:tc>
        <w:tc>
          <w:tcPr>
            <w:tcW w:type="dxa" w:w="2721"/>
          </w:tcPr>
          <w:p>
            <w:r/>
            <w:r>
              <w:rPr>
                <w:sz w:val="16"/>
              </w:rPr>
              <w:t>No explicit rate limiting observed on login, registration, password reset, booking lookup or tracker routes.</w:t>
            </w:r>
          </w:p>
        </w:tc>
        <w:tc>
          <w:tcPr>
            <w:tcW w:type="dxa" w:w="3969"/>
          </w:tcPr>
          <w:p>
            <w:r/>
            <w:r>
              <w:rPr>
                <w:sz w:val="16"/>
              </w:rPr>
              <w:t>Add Laravel throttle middleware (e.g., 5/min for login &amp; reset, 10/min for lookup/track) and lockout notifications to reduce brute force and data harvesting.</w:t>
            </w:r>
          </w:p>
        </w:tc>
        <w:tc>
          <w:tcPr>
            <w:tcW w:type="dxa" w:w="1020"/>
            <w:shd w:val="clear" w:color="auto" w:fill="FDE2C8"/>
          </w:tcPr>
          <w:p>
            <w:r/>
            <w:r>
              <w:rPr>
                <w:b/>
                <w:sz w:val="16"/>
              </w:rPr>
              <w:t>High</w:t>
            </w:r>
          </w:p>
        </w:tc>
      </w:tr>
      <w:tr>
        <w:tc>
          <w:tcPr>
            <w:tcW w:type="dxa" w:w="680"/>
          </w:tcPr>
          <w:p>
            <w:r/>
            <w:r>
              <w:rPr>
                <w:sz w:val="16"/>
              </w:rPr>
              <w:t>S-07</w:t>
            </w:r>
          </w:p>
        </w:tc>
        <w:tc>
          <w:tcPr>
            <w:tcW w:type="dxa" w:w="1361"/>
          </w:tcPr>
          <w:p>
            <w:r/>
            <w:r>
              <w:rPr>
                <w:sz w:val="16"/>
              </w:rPr>
              <w:t>Sec. 20(b); IRR Sec. 26</w:t>
            </w:r>
          </w:p>
        </w:tc>
        <w:tc>
          <w:tcPr>
            <w:tcW w:type="dxa" w:w="2721"/>
          </w:tcPr>
          <w:p>
            <w:r/>
            <w:r>
              <w:rPr>
                <w:sz w:val="16"/>
              </w:rPr>
              <w:t>Credit adjustments are audited, but viewing of user lists, receipts, exports, deactivation, deletion and role/permission changes are not logged.</w:t>
            </w:r>
          </w:p>
        </w:tc>
        <w:tc>
          <w:tcPr>
            <w:tcW w:type="dxa" w:w="3969"/>
          </w:tcPr>
          <w:p>
            <w:r/>
            <w:r>
              <w:rPr>
                <w:sz w:val="16"/>
              </w:rPr>
              <w:t>Add an access &amp; activity audit log table (actor, action, target record, IP, timestamp) for all staff actions on personal data; viewable by the owner/DPO; retained per policy.</w:t>
            </w:r>
          </w:p>
        </w:tc>
        <w:tc>
          <w:tcPr>
            <w:tcW w:type="dxa" w:w="1020"/>
            <w:shd w:val="clear" w:color="auto" w:fill="FDE2C8"/>
          </w:tcPr>
          <w:p>
            <w:r/>
            <w:r>
              <w:rPr>
                <w:b/>
                <w:sz w:val="16"/>
              </w:rPr>
              <w:t>High</w:t>
            </w:r>
          </w:p>
        </w:tc>
      </w:tr>
      <w:tr>
        <w:tc>
          <w:tcPr>
            <w:tcW w:type="dxa" w:w="680"/>
          </w:tcPr>
          <w:p>
            <w:r/>
            <w:r>
              <w:rPr>
                <w:sz w:val="16"/>
              </w:rPr>
              <w:t>S-08</w:t>
            </w:r>
          </w:p>
        </w:tc>
        <w:tc>
          <w:tcPr>
            <w:tcW w:type="dxa" w:w="1361"/>
          </w:tcPr>
          <w:p>
            <w:r/>
            <w:r>
              <w:rPr>
                <w:sz w:val="16"/>
              </w:rPr>
              <w:t>Sec. 20(c)</w:t>
            </w:r>
          </w:p>
        </w:tc>
        <w:tc>
          <w:tcPr>
            <w:tcW w:type="dxa" w:w="2721"/>
          </w:tcPr>
          <w:p>
            <w:r/>
            <w:r>
              <w:rPr>
                <w:sz w:val="16"/>
              </w:rPr>
              <w:t>Owner/admin accounts protected by password only.</w:t>
            </w:r>
          </w:p>
        </w:tc>
        <w:tc>
          <w:tcPr>
            <w:tcW w:type="dxa" w:w="3969"/>
          </w:tcPr>
          <w:p>
            <w:r/>
            <w:r>
              <w:rPr>
                <w:sz w:val="16"/>
              </w:rPr>
              <w:t>Add two-factor authentication (TOTP or e-mail OTP) for court owner, admin and admin assistant roles; enforce minimum password strength.</w:t>
            </w:r>
          </w:p>
        </w:tc>
        <w:tc>
          <w:tcPr>
            <w:tcW w:type="dxa" w:w="1020"/>
            <w:shd w:val="clear" w:color="auto" w:fill="FFF3CD"/>
          </w:tcPr>
          <w:p>
            <w:r/>
            <w:r>
              <w:rPr>
                <w:b/>
                <w:sz w:val="16"/>
              </w:rPr>
              <w:t>Medium</w:t>
            </w:r>
          </w:p>
        </w:tc>
      </w:tr>
      <w:tr>
        <w:tc>
          <w:tcPr>
            <w:tcW w:type="dxa" w:w="680"/>
          </w:tcPr>
          <w:p>
            <w:r/>
            <w:r>
              <w:rPr>
                <w:sz w:val="16"/>
              </w:rPr>
              <w:t>S-09</w:t>
            </w:r>
          </w:p>
        </w:tc>
        <w:tc>
          <w:tcPr>
            <w:tcW w:type="dxa" w:w="1361"/>
          </w:tcPr>
          <w:p>
            <w:r/>
            <w:r>
              <w:rPr>
                <w:sz w:val="16"/>
              </w:rPr>
              <w:t>Sec. 20(c)</w:t>
            </w:r>
          </w:p>
        </w:tc>
        <w:tc>
          <w:tcPr>
            <w:tcW w:type="dxa" w:w="2721"/>
          </w:tcPr>
          <w:p>
            <w:r/>
            <w:r>
              <w:rPr>
                <w:sz w:val="16"/>
              </w:rPr>
              <w:t>SQLite database file and uploads have no documented backup / encryption procedure.</w:t>
            </w:r>
          </w:p>
        </w:tc>
        <w:tc>
          <w:tcPr>
            <w:tcW w:type="dxa" w:w="3969"/>
          </w:tcPr>
          <w:p>
            <w:r/>
            <w:r>
              <w:rPr>
                <w:sz w:val="16"/>
              </w:rPr>
              <w:t>Implement encrypted, scheduled backups with restricted access and periodic restore tests. Ensure the database and private storage are outside the web root on the production server.</w:t>
            </w:r>
          </w:p>
        </w:tc>
        <w:tc>
          <w:tcPr>
            <w:tcW w:type="dxa" w:w="1020"/>
            <w:shd w:val="clear" w:color="auto" w:fill="FFF3CD"/>
          </w:tcPr>
          <w:p>
            <w:r/>
            <w:r>
              <w:rPr>
                <w:b/>
                <w:sz w:val="16"/>
              </w:rPr>
              <w:t>Medium</w:t>
            </w:r>
          </w:p>
        </w:tc>
      </w:tr>
      <w:tr>
        <w:tc>
          <w:tcPr>
            <w:tcW w:type="dxa" w:w="680"/>
          </w:tcPr>
          <w:p>
            <w:r/>
            <w:r>
              <w:rPr>
                <w:sz w:val="16"/>
              </w:rPr>
              <w:t>S-10</w:t>
            </w:r>
          </w:p>
        </w:tc>
        <w:tc>
          <w:tcPr>
            <w:tcW w:type="dxa" w:w="1361"/>
          </w:tcPr>
          <w:p>
            <w:r/>
            <w:r>
              <w:rPr>
                <w:sz w:val="16"/>
              </w:rPr>
              <w:t>Sec. 11(c) proportionality; Sec. 20</w:t>
            </w:r>
          </w:p>
        </w:tc>
        <w:tc>
          <w:tcPr>
            <w:tcW w:type="dxa" w:w="2721"/>
          </w:tcPr>
          <w:p>
            <w:r/>
            <w:r>
              <w:rPr>
                <w:sz w:val="16"/>
              </w:rPr>
              <w:t>Admin assistants with user-management permission see full e-mail and phone of all users.</w:t>
            </w:r>
          </w:p>
        </w:tc>
        <w:tc>
          <w:tcPr>
            <w:tcW w:type="dxa" w:w="3969"/>
          </w:tcPr>
          <w:p>
            <w:r/>
            <w:r>
              <w:rPr>
                <w:sz w:val="16"/>
              </w:rPr>
              <w:t>Apply data minimization in staff views: mask contact details by default with a 'reveal' action that is logged; limit exports to roles that need them.</w:t>
            </w:r>
          </w:p>
        </w:tc>
        <w:tc>
          <w:tcPr>
            <w:tcW w:type="dxa" w:w="1020"/>
            <w:shd w:val="clear" w:color="auto" w:fill="FFF3CD"/>
          </w:tcPr>
          <w:p>
            <w:r/>
            <w:r>
              <w:rPr>
                <w:b/>
                <w:sz w:val="16"/>
              </w:rPr>
              <w:t>Medium</w:t>
            </w:r>
          </w:p>
        </w:tc>
      </w:tr>
      <w:tr>
        <w:tc>
          <w:tcPr>
            <w:tcW w:type="dxa" w:w="680"/>
          </w:tcPr>
          <w:p>
            <w:r/>
            <w:r>
              <w:rPr>
                <w:sz w:val="16"/>
              </w:rPr>
              <w:t>S-11</w:t>
            </w:r>
          </w:p>
        </w:tc>
        <w:tc>
          <w:tcPr>
            <w:tcW w:type="dxa" w:w="1361"/>
          </w:tcPr>
          <w:p>
            <w:r/>
            <w:r>
              <w:rPr>
                <w:sz w:val="16"/>
              </w:rPr>
              <w:t>Sec. 20(c)</w:t>
            </w:r>
          </w:p>
        </w:tc>
        <w:tc>
          <w:tcPr>
            <w:tcW w:type="dxa" w:w="2721"/>
          </w:tcPr>
          <w:p>
            <w:r/>
            <w:r>
              <w:rPr>
                <w:sz w:val="16"/>
              </w:rPr>
              <w:t>Uploaded files are validated by type/size only.</w:t>
            </w:r>
          </w:p>
        </w:tc>
        <w:tc>
          <w:tcPr>
            <w:tcW w:type="dxa" w:w="3969"/>
          </w:tcPr>
          <w:p>
            <w:r/>
            <w:r>
              <w:rPr>
                <w:sz w:val="16"/>
              </w:rPr>
              <w:t>Strip EXIF metadata (GPS) from uploaded avatars/receipts, store with random names (already done), and consider malware scanning for uploads.</w:t>
            </w:r>
          </w:p>
        </w:tc>
        <w:tc>
          <w:tcPr>
            <w:tcW w:type="dxa" w:w="1020"/>
            <w:shd w:val="clear" w:color="auto" w:fill="D1E7DD"/>
          </w:tcPr>
          <w:p>
            <w:r/>
            <w:r>
              <w:rPr>
                <w:b/>
                <w:sz w:val="16"/>
              </w:rPr>
              <w:t>Low</w:t>
            </w:r>
          </w:p>
        </w:tc>
      </w:tr>
    </w:tbl>
    <w:p>
      <w:pPr>
        <w:spacing w:after="40"/>
      </w:pPr>
    </w:p>
    <w:p>
      <w:pPr>
        <w:pStyle w:val="Heading2"/>
      </w:pPr>
      <w:r>
        <w:t>5.2 Transparency, Lawful Basis and Consent (Secs. 11, 12, 16(a))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C-01</w:t>
            </w:r>
          </w:p>
        </w:tc>
        <w:tc>
          <w:tcPr>
            <w:tcW w:type="dxa" w:w="1361"/>
          </w:tcPr>
          <w:p>
            <w:r/>
            <w:r>
              <w:rPr>
                <w:sz w:val="16"/>
              </w:rPr>
              <w:t>Sec. 12(a); Sec. 3(b) consent; NPC consent guidelines</w:t>
            </w:r>
          </w:p>
        </w:tc>
        <w:tc>
          <w:tcPr>
            <w:tcW w:type="dxa" w:w="2721"/>
          </w:tcPr>
          <w:p>
            <w:r/>
            <w:r>
              <w:rPr>
                <w:sz w:val="16"/>
              </w:rPr>
              <w:t>No consent checkbox or privacy notice acknowledgement on registration, guest booking, Google sign-in, or credit top-up forms.</w:t>
            </w:r>
          </w:p>
        </w:tc>
        <w:tc>
          <w:tcPr>
            <w:tcW w:type="dxa" w:w="3969"/>
          </w:tcPr>
          <w:p>
            <w:r/>
            <w:r>
              <w:rPr>
                <w:sz w:val="16"/>
              </w:rPr>
              <w:t>Add an unticked, mandatory checkbox: 'I have read and agree to the Privacy Notice and Terms' with links, on register, guest booking checkout and first Google sign-in. Consent must be freely given, specific, informed and evidenced.</w:t>
            </w:r>
          </w:p>
        </w:tc>
        <w:tc>
          <w:tcPr>
            <w:tcW w:type="dxa" w:w="1020"/>
            <w:shd w:val="clear" w:color="auto" w:fill="FDE2C8"/>
          </w:tcPr>
          <w:p>
            <w:r/>
            <w:r>
              <w:rPr>
                <w:b/>
                <w:sz w:val="16"/>
              </w:rPr>
              <w:t>High</w:t>
            </w:r>
          </w:p>
        </w:tc>
      </w:tr>
      <w:tr>
        <w:tc>
          <w:tcPr>
            <w:tcW w:type="dxa" w:w="680"/>
          </w:tcPr>
          <w:p>
            <w:r/>
            <w:r>
              <w:rPr>
                <w:sz w:val="16"/>
              </w:rPr>
              <w:t>C-02</w:t>
            </w:r>
          </w:p>
        </w:tc>
        <w:tc>
          <w:tcPr>
            <w:tcW w:type="dxa" w:w="1361"/>
          </w:tcPr>
          <w:p>
            <w:r/>
            <w:r>
              <w:rPr>
                <w:sz w:val="16"/>
              </w:rPr>
              <w:t>Sec. 12; IRR accountability</w:t>
            </w:r>
          </w:p>
        </w:tc>
        <w:tc>
          <w:tcPr>
            <w:tcW w:type="dxa" w:w="2721"/>
          </w:tcPr>
          <w:p>
            <w:r/>
            <w:r>
              <w:rPr>
                <w:sz w:val="16"/>
              </w:rPr>
              <w:t>No record of when / which version of the privacy notice a user accepted.</w:t>
            </w:r>
          </w:p>
        </w:tc>
        <w:tc>
          <w:tcPr>
            <w:tcW w:type="dxa" w:w="3969"/>
          </w:tcPr>
          <w:p>
            <w:r/>
            <w:r>
              <w:rPr>
                <w:sz w:val="16"/>
              </w:rPr>
              <w:t>Create a consent_records table (user_id or booking_id, email, notice version, purpose, IP, user agent, accepted_at, withdrawn_at) and store a record at each acceptance.</w:t>
            </w:r>
          </w:p>
        </w:tc>
        <w:tc>
          <w:tcPr>
            <w:tcW w:type="dxa" w:w="1020"/>
            <w:shd w:val="clear" w:color="auto" w:fill="FDE2C8"/>
          </w:tcPr>
          <w:p>
            <w:r/>
            <w:r>
              <w:rPr>
                <w:b/>
                <w:sz w:val="16"/>
              </w:rPr>
              <w:t>High</w:t>
            </w:r>
          </w:p>
        </w:tc>
      </w:tr>
      <w:tr>
        <w:tc>
          <w:tcPr>
            <w:tcW w:type="dxa" w:w="680"/>
          </w:tcPr>
          <w:p>
            <w:r/>
            <w:r>
              <w:rPr>
                <w:sz w:val="16"/>
              </w:rPr>
              <w:t>C-03</w:t>
            </w:r>
          </w:p>
        </w:tc>
        <w:tc>
          <w:tcPr>
            <w:tcW w:type="dxa" w:w="1361"/>
          </w:tcPr>
          <w:p>
            <w:r/>
            <w:r>
              <w:rPr>
                <w:sz w:val="16"/>
              </w:rPr>
              <w:t>Sec. 16(a); Sec. 11(a)</w:t>
            </w:r>
          </w:p>
        </w:tc>
        <w:tc>
          <w:tcPr>
            <w:tcW w:type="dxa" w:w="2721"/>
          </w:tcPr>
          <w:p>
            <w:r/>
            <w:r>
              <w:rPr>
                <w:sz w:val="16"/>
              </w:rPr>
              <w:t>Privacy Policy lacks several required disclosures.</w:t>
            </w:r>
          </w:p>
        </w:tc>
        <w:tc>
          <w:tcPr>
            <w:tcW w:type="dxa" w:w="3969"/>
          </w:tcPr>
          <w:p>
            <w:r/>
            <w:r>
              <w:rPr>
                <w:sz w:val="16"/>
              </w:rPr>
              <w:t>Update the Privacy Notice to include: identity &amp; contact of the PIC and the DPO; lawful basis per purpose; recipients / processors (PayMongo, Xendit, Google, SMTP/e-mail provider, hosting, Laravel Reverb); cross-border transfer notice; retention periods; full list of data subject rights incl. portability and the right to lodge a complaint with the NPC; security measures; versioning and effective date (currently auto-shows today's date).</w:t>
            </w:r>
          </w:p>
        </w:tc>
        <w:tc>
          <w:tcPr>
            <w:tcW w:type="dxa" w:w="1020"/>
            <w:shd w:val="clear" w:color="auto" w:fill="FDE2C8"/>
          </w:tcPr>
          <w:p>
            <w:r/>
            <w:r>
              <w:rPr>
                <w:b/>
                <w:sz w:val="16"/>
              </w:rPr>
              <w:t>High</w:t>
            </w:r>
          </w:p>
        </w:tc>
      </w:tr>
      <w:tr>
        <w:tc>
          <w:tcPr>
            <w:tcW w:type="dxa" w:w="680"/>
          </w:tcPr>
          <w:p>
            <w:r/>
            <w:r>
              <w:rPr>
                <w:sz w:val="16"/>
              </w:rPr>
              <w:t>C-04</w:t>
            </w:r>
          </w:p>
        </w:tc>
        <w:tc>
          <w:tcPr>
            <w:tcW w:type="dxa" w:w="1361"/>
          </w:tcPr>
          <w:p>
            <w:r/>
            <w:r>
              <w:rPr>
                <w:sz w:val="16"/>
              </w:rPr>
              <w:t>Sec. 16(a)</w:t>
            </w:r>
          </w:p>
        </w:tc>
        <w:tc>
          <w:tcPr>
            <w:tcW w:type="dxa" w:w="2721"/>
          </w:tcPr>
          <w:p>
            <w:r/>
            <w:r>
              <w:rPr>
                <w:sz w:val="16"/>
              </w:rPr>
              <w:t>No short privacy notice at the point of collection.</w:t>
            </w:r>
          </w:p>
        </w:tc>
        <w:tc>
          <w:tcPr>
            <w:tcW w:type="dxa" w:w="3969"/>
          </w:tcPr>
          <w:p>
            <w:r/>
            <w:r>
              <w:rPr>
                <w:sz w:val="16"/>
              </w:rPr>
              <w:t>Add a brief just-in-time notice under the booking and receipt-upload forms (what is collected, why, how long, link to full notice).</w:t>
            </w:r>
          </w:p>
        </w:tc>
        <w:tc>
          <w:tcPr>
            <w:tcW w:type="dxa" w:w="1020"/>
            <w:shd w:val="clear" w:color="auto" w:fill="FFF3CD"/>
          </w:tcPr>
          <w:p>
            <w:r/>
            <w:r>
              <w:rPr>
                <w:b/>
                <w:sz w:val="16"/>
              </w:rPr>
              <w:t>Medium</w:t>
            </w:r>
          </w:p>
        </w:tc>
      </w:tr>
      <w:tr>
        <w:tc>
          <w:tcPr>
            <w:tcW w:type="dxa" w:w="680"/>
          </w:tcPr>
          <w:p>
            <w:r/>
            <w:r>
              <w:rPr>
                <w:sz w:val="16"/>
              </w:rPr>
              <w:t>C-05</w:t>
            </w:r>
          </w:p>
        </w:tc>
        <w:tc>
          <w:tcPr>
            <w:tcW w:type="dxa" w:w="1361"/>
          </w:tcPr>
          <w:p>
            <w:r/>
            <w:r>
              <w:rPr>
                <w:sz w:val="16"/>
              </w:rPr>
              <w:t>Sec. 12; Sec. 16(c) right to object</w:t>
            </w:r>
          </w:p>
        </w:tc>
        <w:tc>
          <w:tcPr>
            <w:tcW w:type="dxa" w:w="2721"/>
          </w:tcPr>
          <w:p>
            <w:r/>
            <w:r>
              <w:rPr>
                <w:sz w:val="16"/>
              </w:rPr>
              <w:t>Promotional / non-transactional e-mails (if any are planned) have no separate opt-in.</w:t>
            </w:r>
          </w:p>
        </w:tc>
        <w:tc>
          <w:tcPr>
            <w:tcW w:type="dxa" w:w="3969"/>
          </w:tcPr>
          <w:p>
            <w:r/>
            <w:r>
              <w:rPr>
                <w:sz w:val="16"/>
              </w:rPr>
              <w:t>Separate optional marketing consent from service consent; add an unsubscribe link and a preference toggle in the profile.</w:t>
            </w:r>
          </w:p>
        </w:tc>
        <w:tc>
          <w:tcPr>
            <w:tcW w:type="dxa" w:w="1020"/>
            <w:shd w:val="clear" w:color="auto" w:fill="FFF3CD"/>
          </w:tcPr>
          <w:p>
            <w:r/>
            <w:r>
              <w:rPr>
                <w:b/>
                <w:sz w:val="16"/>
              </w:rPr>
              <w:t>Medium</w:t>
            </w:r>
          </w:p>
        </w:tc>
      </w:tr>
      <w:tr>
        <w:tc>
          <w:tcPr>
            <w:tcW w:type="dxa" w:w="680"/>
          </w:tcPr>
          <w:p>
            <w:r/>
            <w:r>
              <w:rPr>
                <w:sz w:val="16"/>
              </w:rPr>
              <w:t>C-06</w:t>
            </w:r>
          </w:p>
        </w:tc>
        <w:tc>
          <w:tcPr>
            <w:tcW w:type="dxa" w:w="1361"/>
          </w:tcPr>
          <w:p>
            <w:r/>
            <w:r>
              <w:rPr>
                <w:sz w:val="16"/>
              </w:rPr>
              <w:t>Sec. 12; Civil Code capacity</w:t>
            </w:r>
          </w:p>
        </w:tc>
        <w:tc>
          <w:tcPr>
            <w:tcW w:type="dxa" w:w="2721"/>
          </w:tcPr>
          <w:p>
            <w:r/>
            <w:r>
              <w:rPr>
                <w:sz w:val="16"/>
              </w:rPr>
              <w:t>No age confirmation; minors may register or book.</w:t>
            </w:r>
          </w:p>
        </w:tc>
        <w:tc>
          <w:tcPr>
            <w:tcW w:type="dxa" w:w="3969"/>
          </w:tcPr>
          <w:p>
            <w:r/>
            <w:r>
              <w:rPr>
                <w:sz w:val="16"/>
              </w:rPr>
              <w:t>Add an age confirmation (18+) or require parent/guardian consent for minors, and state this in the Privacy Notice.</w:t>
            </w:r>
          </w:p>
        </w:tc>
        <w:tc>
          <w:tcPr>
            <w:tcW w:type="dxa" w:w="1020"/>
            <w:shd w:val="clear" w:color="auto" w:fill="FFF3CD"/>
          </w:tcPr>
          <w:p>
            <w:r/>
            <w:r>
              <w:rPr>
                <w:b/>
                <w:sz w:val="16"/>
              </w:rPr>
              <w:t>Medium</w:t>
            </w:r>
          </w:p>
        </w:tc>
      </w:tr>
      <w:tr>
        <w:tc>
          <w:tcPr>
            <w:tcW w:type="dxa" w:w="680"/>
          </w:tcPr>
          <w:p>
            <w:r/>
            <w:r>
              <w:rPr>
                <w:sz w:val="16"/>
              </w:rPr>
              <w:t>C-07</w:t>
            </w:r>
          </w:p>
        </w:tc>
        <w:tc>
          <w:tcPr>
            <w:tcW w:type="dxa" w:w="1361"/>
          </w:tcPr>
          <w:p>
            <w:r/>
            <w:r>
              <w:rPr>
                <w:sz w:val="16"/>
              </w:rPr>
              <w:t>Sec. 16(a)</w:t>
            </w:r>
          </w:p>
        </w:tc>
        <w:tc>
          <w:tcPr>
            <w:tcW w:type="dxa" w:w="2721"/>
          </w:tcPr>
          <w:p>
            <w:r/>
            <w:r>
              <w:rPr>
                <w:sz w:val="16"/>
              </w:rPr>
              <w:t>Cookies/session storage are not disclosed.</w:t>
            </w:r>
          </w:p>
        </w:tc>
        <w:tc>
          <w:tcPr>
            <w:tcW w:type="dxa" w:w="3969"/>
          </w:tcPr>
          <w:p>
            <w:r/>
            <w:r>
              <w:rPr>
                <w:sz w:val="16"/>
              </w:rPr>
              <w:t>Add a cookie notice describing essential cookies (session, CSRF, remember-me) and any analytics, if added in the future.</w:t>
            </w:r>
          </w:p>
        </w:tc>
        <w:tc>
          <w:tcPr>
            <w:tcW w:type="dxa" w:w="1020"/>
            <w:shd w:val="clear" w:color="auto" w:fill="D1E7DD"/>
          </w:tcPr>
          <w:p>
            <w:r/>
            <w:r>
              <w:rPr>
                <w:b/>
                <w:sz w:val="16"/>
              </w:rPr>
              <w:t>Low</w:t>
            </w:r>
          </w:p>
        </w:tc>
      </w:tr>
    </w:tbl>
    <w:p>
      <w:pPr>
        <w:spacing w:after="40"/>
      </w:pPr>
    </w:p>
    <w:p>
      <w:pPr>
        <w:pStyle w:val="Heading2"/>
      </w:pPr>
      <w:r>
        <w:t>5.3 Data Subject Rights (Secs. 16–18)</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R-01</w:t>
            </w:r>
          </w:p>
        </w:tc>
        <w:tc>
          <w:tcPr>
            <w:tcW w:type="dxa" w:w="1361"/>
          </w:tcPr>
          <w:p>
            <w:r/>
            <w:r>
              <w:rPr>
                <w:sz w:val="16"/>
              </w:rPr>
              <w:t>Sec. 16(c),(e) right to object / erasure or blocking</w:t>
            </w:r>
          </w:p>
        </w:tc>
        <w:tc>
          <w:tcPr>
            <w:tcW w:type="dxa" w:w="2721"/>
          </w:tcPr>
          <w:p>
            <w:r/>
            <w:r>
              <w:rPr>
                <w:sz w:val="16"/>
              </w:rPr>
              <w:t>Deletion is requested by e-mail only; owner-side destroyUser performs a hard delete without a defined effect on bookings, receipts and avatar files.</w:t>
            </w:r>
          </w:p>
        </w:tc>
        <w:tc>
          <w:tcPr>
            <w:tcW w:type="dxa" w:w="3969"/>
          </w:tcPr>
          <w:p>
            <w:r/>
            <w:r>
              <w:rPr>
                <w:sz w:val="16"/>
              </w:rPr>
              <w:t>Add a 'Delete / close my account' option in the profile with re-authentication. Implement anonymization (replace name/e-mail/phone with placeholders, delete avatar and receipt files) while retaining financial records required by law in de-identified form.</w:t>
            </w:r>
          </w:p>
        </w:tc>
        <w:tc>
          <w:tcPr>
            <w:tcW w:type="dxa" w:w="1020"/>
            <w:shd w:val="clear" w:color="auto" w:fill="FDE2C8"/>
          </w:tcPr>
          <w:p>
            <w:r/>
            <w:r>
              <w:rPr>
                <w:b/>
                <w:sz w:val="16"/>
              </w:rPr>
              <w:t>High</w:t>
            </w:r>
          </w:p>
        </w:tc>
      </w:tr>
      <w:tr>
        <w:tc>
          <w:tcPr>
            <w:tcW w:type="dxa" w:w="680"/>
          </w:tcPr>
          <w:p>
            <w:r/>
            <w:r>
              <w:rPr>
                <w:sz w:val="16"/>
              </w:rPr>
              <w:t>R-02</w:t>
            </w:r>
          </w:p>
        </w:tc>
        <w:tc>
          <w:tcPr>
            <w:tcW w:type="dxa" w:w="1361"/>
          </w:tcPr>
          <w:p>
            <w:r/>
            <w:r>
              <w:rPr>
                <w:sz w:val="16"/>
              </w:rPr>
              <w:t>Sec. 18 data portability; Sec. 16(c) access</w:t>
            </w:r>
          </w:p>
        </w:tc>
        <w:tc>
          <w:tcPr>
            <w:tcW w:type="dxa" w:w="2721"/>
          </w:tcPr>
          <w:p>
            <w:r/>
            <w:r>
              <w:rPr>
                <w:sz w:val="16"/>
              </w:rPr>
              <w:t>No way for users to obtain a copy of their data.</w:t>
            </w:r>
          </w:p>
        </w:tc>
        <w:tc>
          <w:tcPr>
            <w:tcW w:type="dxa" w:w="3969"/>
          </w:tcPr>
          <w:p>
            <w:r/>
            <w:r>
              <w:rPr>
                <w:sz w:val="16"/>
              </w:rPr>
              <w:t>Add 'Download my data' in the profile producing JSON/CSV of profile, bookings, credit top-ups, wallet transactions and consent records.</w:t>
            </w:r>
          </w:p>
        </w:tc>
        <w:tc>
          <w:tcPr>
            <w:tcW w:type="dxa" w:w="1020"/>
            <w:shd w:val="clear" w:color="auto" w:fill="FDE2C8"/>
          </w:tcPr>
          <w:p>
            <w:r/>
            <w:r>
              <w:rPr>
                <w:b/>
                <w:sz w:val="16"/>
              </w:rPr>
              <w:t>High</w:t>
            </w:r>
          </w:p>
        </w:tc>
      </w:tr>
      <w:tr>
        <w:tc>
          <w:tcPr>
            <w:tcW w:type="dxa" w:w="680"/>
          </w:tcPr>
          <w:p>
            <w:r/>
            <w:r>
              <w:rPr>
                <w:sz w:val="16"/>
              </w:rPr>
              <w:t>R-03</w:t>
            </w:r>
          </w:p>
        </w:tc>
        <w:tc>
          <w:tcPr>
            <w:tcW w:type="dxa" w:w="1361"/>
          </w:tcPr>
          <w:p>
            <w:r/>
            <w:r>
              <w:rPr>
                <w:sz w:val="16"/>
              </w:rPr>
              <w:t>Sec. 16(d) right to rectification</w:t>
            </w:r>
          </w:p>
        </w:tc>
        <w:tc>
          <w:tcPr>
            <w:tcW w:type="dxa" w:w="2721"/>
          </w:tcPr>
          <w:p>
            <w:r/>
            <w:r>
              <w:rPr>
                <w:sz w:val="16"/>
              </w:rPr>
              <w:t>Registered users can edit their profile; guest bookers cannot correct booking contact details.</w:t>
            </w:r>
          </w:p>
        </w:tc>
        <w:tc>
          <w:tcPr>
            <w:tcW w:type="dxa" w:w="3969"/>
          </w:tcPr>
          <w:p>
            <w:r/>
            <w:r>
              <w:rPr>
                <w:sz w:val="16"/>
              </w:rPr>
              <w:t>Provide a correction request option on the tracker page (after verification) or a contact form routed to the owner portal.</w:t>
            </w:r>
          </w:p>
        </w:tc>
        <w:tc>
          <w:tcPr>
            <w:tcW w:type="dxa" w:w="1020"/>
            <w:shd w:val="clear" w:color="auto" w:fill="FFF3CD"/>
          </w:tcPr>
          <w:p>
            <w:r/>
            <w:r>
              <w:rPr>
                <w:b/>
                <w:sz w:val="16"/>
              </w:rPr>
              <w:t>Medium</w:t>
            </w:r>
          </w:p>
        </w:tc>
      </w:tr>
      <w:tr>
        <w:tc>
          <w:tcPr>
            <w:tcW w:type="dxa" w:w="680"/>
          </w:tcPr>
          <w:p>
            <w:r/>
            <w:r>
              <w:rPr>
                <w:sz w:val="16"/>
              </w:rPr>
              <w:t>R-04</w:t>
            </w:r>
          </w:p>
        </w:tc>
        <w:tc>
          <w:tcPr>
            <w:tcW w:type="dxa" w:w="1361"/>
          </w:tcPr>
          <w:p>
            <w:r/>
            <w:r>
              <w:rPr>
                <w:sz w:val="16"/>
              </w:rPr>
              <w:t>Secs. 16–17; IRR</w:t>
            </w:r>
          </w:p>
        </w:tc>
        <w:tc>
          <w:tcPr>
            <w:tcW w:type="dxa" w:w="2721"/>
          </w:tcPr>
          <w:p>
            <w:r/>
            <w:r>
              <w:rPr>
                <w:sz w:val="16"/>
              </w:rPr>
              <w:t>No internal process to receive, verify, track and answer data subject requests.</w:t>
            </w:r>
          </w:p>
        </w:tc>
        <w:tc>
          <w:tcPr>
            <w:tcW w:type="dxa" w:w="3969"/>
          </w:tcPr>
          <w:p>
            <w:r/>
            <w:r>
              <w:rPr>
                <w:sz w:val="16"/>
              </w:rPr>
              <w:t>Add a 'Privacy Requests' module in the owner portal: request type (access, correction, erasure, objection, portability), identity verification, status, due date, response log and notification e-mails.</w:t>
            </w:r>
          </w:p>
        </w:tc>
        <w:tc>
          <w:tcPr>
            <w:tcW w:type="dxa" w:w="1020"/>
            <w:shd w:val="clear" w:color="auto" w:fill="FFF3CD"/>
          </w:tcPr>
          <w:p>
            <w:r/>
            <w:r>
              <w:rPr>
                <w:b/>
                <w:sz w:val="16"/>
              </w:rPr>
              <w:t>Medium</w:t>
            </w:r>
          </w:p>
        </w:tc>
      </w:tr>
      <w:tr>
        <w:tc>
          <w:tcPr>
            <w:tcW w:type="dxa" w:w="680"/>
          </w:tcPr>
          <w:p>
            <w:r/>
            <w:r>
              <w:rPr>
                <w:sz w:val="16"/>
              </w:rPr>
              <w:t>R-05</w:t>
            </w:r>
          </w:p>
        </w:tc>
        <w:tc>
          <w:tcPr>
            <w:tcW w:type="dxa" w:w="1361"/>
          </w:tcPr>
          <w:p>
            <w:r/>
            <w:r>
              <w:rPr>
                <w:sz w:val="16"/>
              </w:rPr>
              <w:t>Sec. 16(b) right to be informed of changes</w:t>
            </w:r>
          </w:p>
        </w:tc>
        <w:tc>
          <w:tcPr>
            <w:tcW w:type="dxa" w:w="2721"/>
          </w:tcPr>
          <w:p>
            <w:r/>
            <w:r>
              <w:rPr>
                <w:sz w:val="16"/>
              </w:rPr>
              <w:t>Users are not notified when the Privacy Notice changes.</w:t>
            </w:r>
          </w:p>
        </w:tc>
        <w:tc>
          <w:tcPr>
            <w:tcW w:type="dxa" w:w="3969"/>
          </w:tcPr>
          <w:p>
            <w:r/>
            <w:r>
              <w:rPr>
                <w:sz w:val="16"/>
              </w:rPr>
              <w:t>Show a banner / re-consent prompt to logged-in users when the notice version changes and e-mail significant changes.</w:t>
            </w:r>
          </w:p>
        </w:tc>
        <w:tc>
          <w:tcPr>
            <w:tcW w:type="dxa" w:w="1020"/>
            <w:shd w:val="clear" w:color="auto" w:fill="D1E7DD"/>
          </w:tcPr>
          <w:p>
            <w:r/>
            <w:r>
              <w:rPr>
                <w:b/>
                <w:sz w:val="16"/>
              </w:rPr>
              <w:t>Low</w:t>
            </w:r>
          </w:p>
        </w:tc>
      </w:tr>
    </w:tbl>
    <w:p>
      <w:pPr>
        <w:spacing w:after="40"/>
      </w:pPr>
    </w:p>
    <w:p>
      <w:pPr>
        <w:pStyle w:val="Heading2"/>
      </w:pPr>
      <w:r>
        <w:t>5.4 Retention and Disposal (Sec. 11(e), Sec. 20)</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D-01</w:t>
            </w:r>
          </w:p>
        </w:tc>
        <w:tc>
          <w:tcPr>
            <w:tcW w:type="dxa" w:w="1361"/>
          </w:tcPr>
          <w:p>
            <w:r/>
            <w:r>
              <w:rPr>
                <w:sz w:val="16"/>
              </w:rPr>
              <w:t>Sec. 11(e) – retained only as long as necessary</w:t>
            </w:r>
          </w:p>
        </w:tc>
        <w:tc>
          <w:tcPr>
            <w:tcW w:type="dxa" w:w="2721"/>
          </w:tcPr>
          <w:p>
            <w:r/>
            <w:r>
              <w:rPr>
                <w:sz w:val="16"/>
              </w:rPr>
              <w:t>No retention schedule; held/expired/cancelled bookings, rejected receipts and inactive accounts are kept indefinitely.</w:t>
            </w:r>
          </w:p>
        </w:tc>
        <w:tc>
          <w:tcPr>
            <w:tcW w:type="dxa" w:w="3969"/>
          </w:tcPr>
          <w:p>
            <w:r/>
            <w:r>
              <w:rPr>
                <w:sz w:val="16"/>
              </w:rPr>
              <w:t>Define and publish a retention schedule (e.g., held/expired bookings: 30 days; receipt images: 90 days after approval/rejection; financial records: per BIR record-keeping rules; inactive accounts: e.g., 3 years then notify and anonymize).</w:t>
            </w:r>
          </w:p>
        </w:tc>
        <w:tc>
          <w:tcPr>
            <w:tcW w:type="dxa" w:w="1020"/>
            <w:shd w:val="clear" w:color="auto" w:fill="FDE2C8"/>
          </w:tcPr>
          <w:p>
            <w:r/>
            <w:r>
              <w:rPr>
                <w:b/>
                <w:sz w:val="16"/>
              </w:rPr>
              <w:t>High</w:t>
            </w:r>
          </w:p>
        </w:tc>
      </w:tr>
      <w:tr>
        <w:tc>
          <w:tcPr>
            <w:tcW w:type="dxa" w:w="680"/>
          </w:tcPr>
          <w:p>
            <w:r/>
            <w:r>
              <w:rPr>
                <w:sz w:val="16"/>
              </w:rPr>
              <w:t>D-02</w:t>
            </w:r>
          </w:p>
        </w:tc>
        <w:tc>
          <w:tcPr>
            <w:tcW w:type="dxa" w:w="1361"/>
          </w:tcPr>
          <w:p>
            <w:r/>
            <w:r>
              <w:rPr>
                <w:sz w:val="16"/>
              </w:rPr>
              <w:t>Sec. 11(e); Sec. 27 improper disposal</w:t>
            </w:r>
          </w:p>
        </w:tc>
        <w:tc>
          <w:tcPr>
            <w:tcW w:type="dxa" w:w="2721"/>
          </w:tcPr>
          <w:p>
            <w:r/>
            <w:r>
              <w:rPr>
                <w:sz w:val="16"/>
              </w:rPr>
              <w:t>No automated disposal.</w:t>
            </w:r>
          </w:p>
        </w:tc>
        <w:tc>
          <w:tcPr>
            <w:tcW w:type="dxa" w:w="3969"/>
          </w:tcPr>
          <w:p>
            <w:r/>
            <w:r>
              <w:rPr>
                <w:sz w:val="16"/>
              </w:rPr>
              <w:t>Add scheduled Artisan commands (Laravel Scheduler) to purge/anonymize data per the schedule, securely delete files, and log each disposal run.</w:t>
            </w:r>
          </w:p>
        </w:tc>
        <w:tc>
          <w:tcPr>
            <w:tcW w:type="dxa" w:w="1020"/>
            <w:shd w:val="clear" w:color="auto" w:fill="FDE2C8"/>
          </w:tcPr>
          <w:p>
            <w:r/>
            <w:r>
              <w:rPr>
                <w:b/>
                <w:sz w:val="16"/>
              </w:rPr>
              <w:t>High</w:t>
            </w:r>
          </w:p>
        </w:tc>
      </w:tr>
      <w:tr>
        <w:tc>
          <w:tcPr>
            <w:tcW w:type="dxa" w:w="680"/>
          </w:tcPr>
          <w:p>
            <w:r/>
            <w:r>
              <w:rPr>
                <w:sz w:val="16"/>
              </w:rPr>
              <w:t>D-03</w:t>
            </w:r>
          </w:p>
        </w:tc>
        <w:tc>
          <w:tcPr>
            <w:tcW w:type="dxa" w:w="1361"/>
          </w:tcPr>
          <w:p>
            <w:r/>
            <w:r>
              <w:rPr>
                <w:sz w:val="16"/>
              </w:rPr>
              <w:t>Sec. 20</w:t>
            </w:r>
          </w:p>
        </w:tc>
        <w:tc>
          <w:tcPr>
            <w:tcW w:type="dxa" w:w="2721"/>
          </w:tcPr>
          <w:p>
            <w:r/>
            <w:r>
              <w:rPr>
                <w:sz w:val="16"/>
              </w:rPr>
              <w:t>Logs and session records are not purged on a defined schedule.</w:t>
            </w:r>
          </w:p>
        </w:tc>
        <w:tc>
          <w:tcPr>
            <w:tcW w:type="dxa" w:w="3969"/>
          </w:tcPr>
          <w:p>
            <w:r/>
            <w:r>
              <w:rPr>
                <w:sz w:val="16"/>
              </w:rPr>
              <w:t>Configure daily log rotation and prune the sessions, password reset tokens and failed jobs tables regularly.</w:t>
            </w:r>
          </w:p>
        </w:tc>
        <w:tc>
          <w:tcPr>
            <w:tcW w:type="dxa" w:w="1020"/>
            <w:shd w:val="clear" w:color="auto" w:fill="FFF3CD"/>
          </w:tcPr>
          <w:p>
            <w:r/>
            <w:r>
              <w:rPr>
                <w:b/>
                <w:sz w:val="16"/>
              </w:rPr>
              <w:t>Medium</w:t>
            </w:r>
          </w:p>
        </w:tc>
      </w:tr>
    </w:tbl>
    <w:p>
      <w:pPr>
        <w:spacing w:after="40"/>
      </w:pPr>
    </w:p>
    <w:p>
      <w:pPr>
        <w:pStyle w:val="Heading2"/>
      </w:pPr>
      <w:r>
        <w:t>5.5 Breach Management (Sec. 20(f); NPC Circular 16-03)</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B-01</w:t>
            </w:r>
          </w:p>
        </w:tc>
        <w:tc>
          <w:tcPr>
            <w:tcW w:type="dxa" w:w="1361"/>
          </w:tcPr>
          <w:p>
            <w:r/>
            <w:r>
              <w:rPr>
                <w:sz w:val="16"/>
              </w:rPr>
              <w:t>Sec. 20(f); NPC Circ. 16-03</w:t>
            </w:r>
          </w:p>
        </w:tc>
        <w:tc>
          <w:tcPr>
            <w:tcW w:type="dxa" w:w="2721"/>
          </w:tcPr>
          <w:p>
            <w:r/>
            <w:r>
              <w:rPr>
                <w:sz w:val="16"/>
              </w:rPr>
              <w:t>No documented personal data breach procedure.</w:t>
            </w:r>
          </w:p>
        </w:tc>
        <w:tc>
          <w:tcPr>
            <w:tcW w:type="dxa" w:w="3969"/>
          </w:tcPr>
          <w:p>
            <w:r/>
            <w:r>
              <w:rPr>
                <w:sz w:val="16"/>
              </w:rPr>
              <w:t>Adopt a Breach Response Plan: breach response team, containment steps, assessment of 'real risk of serious harm', notification to the NPC and affected data subjects within 72 hours of knowledge, and documentation.</w:t>
            </w:r>
          </w:p>
        </w:tc>
        <w:tc>
          <w:tcPr>
            <w:tcW w:type="dxa" w:w="1020"/>
            <w:shd w:val="clear" w:color="auto" w:fill="FDE2C8"/>
          </w:tcPr>
          <w:p>
            <w:r/>
            <w:r>
              <w:rPr>
                <w:b/>
                <w:sz w:val="16"/>
              </w:rPr>
              <w:t>High</w:t>
            </w:r>
          </w:p>
        </w:tc>
      </w:tr>
      <w:tr>
        <w:tc>
          <w:tcPr>
            <w:tcW w:type="dxa" w:w="680"/>
          </w:tcPr>
          <w:p>
            <w:r/>
            <w:r>
              <w:rPr>
                <w:sz w:val="16"/>
              </w:rPr>
              <w:t>B-02</w:t>
            </w:r>
          </w:p>
        </w:tc>
        <w:tc>
          <w:tcPr>
            <w:tcW w:type="dxa" w:w="1361"/>
          </w:tcPr>
          <w:p>
            <w:r/>
            <w:r>
              <w:rPr>
                <w:sz w:val="16"/>
              </w:rPr>
              <w:t>NPC Circ. 16-03 (annual report / breach log)</w:t>
            </w:r>
          </w:p>
        </w:tc>
        <w:tc>
          <w:tcPr>
            <w:tcW w:type="dxa" w:w="2721"/>
          </w:tcPr>
          <w:p>
            <w:r/>
            <w:r>
              <w:rPr>
                <w:sz w:val="16"/>
              </w:rPr>
              <w:t>No breach/incident register.</w:t>
            </w:r>
          </w:p>
        </w:tc>
        <w:tc>
          <w:tcPr>
            <w:tcW w:type="dxa" w:w="3969"/>
          </w:tcPr>
          <w:p>
            <w:r/>
            <w:r>
              <w:rPr>
                <w:sz w:val="16"/>
              </w:rPr>
              <w:t>Add an incident log (in the owner portal or a secured document) recording all security incidents and breaches, including those not reportable, for the annual report to the NPC.</w:t>
            </w:r>
          </w:p>
        </w:tc>
        <w:tc>
          <w:tcPr>
            <w:tcW w:type="dxa" w:w="1020"/>
            <w:shd w:val="clear" w:color="auto" w:fill="FFF3CD"/>
          </w:tcPr>
          <w:p>
            <w:r/>
            <w:r>
              <w:rPr>
                <w:b/>
                <w:sz w:val="16"/>
              </w:rPr>
              <w:t>Medium</w:t>
            </w:r>
          </w:p>
        </w:tc>
      </w:tr>
      <w:tr>
        <w:tc>
          <w:tcPr>
            <w:tcW w:type="dxa" w:w="680"/>
          </w:tcPr>
          <w:p>
            <w:r/>
            <w:r>
              <w:rPr>
                <w:sz w:val="16"/>
              </w:rPr>
              <w:t>B-03</w:t>
            </w:r>
          </w:p>
        </w:tc>
        <w:tc>
          <w:tcPr>
            <w:tcW w:type="dxa" w:w="1361"/>
          </w:tcPr>
          <w:p>
            <w:r/>
            <w:r>
              <w:rPr>
                <w:sz w:val="16"/>
              </w:rPr>
              <w:t>Sec. 20; Sec. 30 concealment</w:t>
            </w:r>
          </w:p>
        </w:tc>
        <w:tc>
          <w:tcPr>
            <w:tcW w:type="dxa" w:w="2721"/>
          </w:tcPr>
          <w:p>
            <w:r/>
            <w:r>
              <w:rPr>
                <w:sz w:val="16"/>
              </w:rPr>
              <w:t>No automated alerts for suspicious activity.</w:t>
            </w:r>
          </w:p>
        </w:tc>
        <w:tc>
          <w:tcPr>
            <w:tcW w:type="dxa" w:w="3969"/>
          </w:tcPr>
          <w:p>
            <w:r/>
            <w:r>
              <w:rPr>
                <w:sz w:val="16"/>
              </w:rPr>
              <w:t>Send alerts to the owner/DPO for repeated failed logins, mass exports, or unusual access to receipts.</w:t>
            </w:r>
          </w:p>
        </w:tc>
        <w:tc>
          <w:tcPr>
            <w:tcW w:type="dxa" w:w="1020"/>
            <w:shd w:val="clear" w:color="auto" w:fill="D1E7DD"/>
          </w:tcPr>
          <w:p>
            <w:r/>
            <w:r>
              <w:rPr>
                <w:b/>
                <w:sz w:val="16"/>
              </w:rPr>
              <w:t>Low</w:t>
            </w:r>
          </w:p>
        </w:tc>
      </w:tr>
    </w:tbl>
    <w:p>
      <w:pPr>
        <w:spacing w:after="40"/>
      </w:pPr>
    </w:p>
    <w:p>
      <w:pPr>
        <w:pStyle w:val="Heading2"/>
      </w:pPr>
      <w:r>
        <w:t>5.6 Organizational Measures and Accountability (Secs. 14, 20, 21)</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680"/>
            <w:shd w:val="clear" w:color="auto" w:fill="0F172A"/>
          </w:tcPr>
          <w:p>
            <w:r/>
            <w:r>
              <w:rPr>
                <w:b/>
                <w:color w:val="FFFFFF"/>
                <w:sz w:val="16"/>
              </w:rPr>
              <w:t>ID</w:t>
            </w:r>
          </w:p>
        </w:tc>
        <w:tc>
          <w:tcPr>
            <w:tcW w:type="dxa" w:w="1361"/>
            <w:shd w:val="clear" w:color="auto" w:fill="0F172A"/>
          </w:tcPr>
          <w:p>
            <w:r/>
            <w:r>
              <w:rPr>
                <w:b/>
                <w:color w:val="FFFFFF"/>
                <w:sz w:val="16"/>
              </w:rPr>
              <w:t>RA 10173 basis</w:t>
            </w:r>
          </w:p>
        </w:tc>
        <w:tc>
          <w:tcPr>
            <w:tcW w:type="dxa" w:w="2721"/>
            <w:shd w:val="clear" w:color="auto" w:fill="0F172A"/>
          </w:tcPr>
          <w:p>
            <w:r/>
            <w:r>
              <w:rPr>
                <w:b/>
                <w:color w:val="FFFFFF"/>
                <w:sz w:val="16"/>
              </w:rPr>
              <w:t>Current state</w:t>
            </w:r>
          </w:p>
        </w:tc>
        <w:tc>
          <w:tcPr>
            <w:tcW w:type="dxa" w:w="3969"/>
            <w:shd w:val="clear" w:color="auto" w:fill="0F172A"/>
          </w:tcPr>
          <w:p>
            <w:r/>
            <w:r>
              <w:rPr>
                <w:b/>
                <w:color w:val="FFFFFF"/>
                <w:sz w:val="16"/>
              </w:rPr>
              <w:t>What must be added</w:t>
            </w:r>
          </w:p>
        </w:tc>
        <w:tc>
          <w:tcPr>
            <w:tcW w:type="dxa" w:w="1020"/>
            <w:shd w:val="clear" w:color="auto" w:fill="0F172A"/>
          </w:tcPr>
          <w:p>
            <w:r/>
            <w:r>
              <w:rPr>
                <w:b/>
                <w:color w:val="FFFFFF"/>
                <w:sz w:val="16"/>
              </w:rPr>
              <w:t>Priority</w:t>
            </w:r>
          </w:p>
        </w:tc>
      </w:tr>
      <w:tr>
        <w:tc>
          <w:tcPr>
            <w:tcW w:type="dxa" w:w="680"/>
          </w:tcPr>
          <w:p>
            <w:r/>
            <w:r>
              <w:rPr>
                <w:sz w:val="16"/>
              </w:rPr>
              <w:t>O-01</w:t>
            </w:r>
          </w:p>
        </w:tc>
        <w:tc>
          <w:tcPr>
            <w:tcW w:type="dxa" w:w="1361"/>
          </w:tcPr>
          <w:p>
            <w:r/>
            <w:r>
              <w:rPr>
                <w:sz w:val="16"/>
              </w:rPr>
              <w:t>Sec. 21(b); IRR Sec. 26(a)</w:t>
            </w:r>
          </w:p>
        </w:tc>
        <w:tc>
          <w:tcPr>
            <w:tcW w:type="dxa" w:w="2721"/>
          </w:tcPr>
          <w:p>
            <w:r/>
            <w:r>
              <w:rPr>
                <w:sz w:val="16"/>
              </w:rPr>
              <w:t>No Data Protection Officer (DPO) designated or published.</w:t>
            </w:r>
          </w:p>
        </w:tc>
        <w:tc>
          <w:tcPr>
            <w:tcW w:type="dxa" w:w="3969"/>
          </w:tcPr>
          <w:p>
            <w:r/>
            <w:r>
              <w:rPr>
                <w:sz w:val="16"/>
              </w:rPr>
              <w:t>Designate a DPO (can be the owner or a trusted staff member for a small business), publish the DPO contact (e.g., dpo@...) in the Privacy Notice and footer.</w:t>
            </w:r>
          </w:p>
        </w:tc>
        <w:tc>
          <w:tcPr>
            <w:tcW w:type="dxa" w:w="1020"/>
            <w:shd w:val="clear" w:color="auto" w:fill="FDE2C8"/>
          </w:tcPr>
          <w:p>
            <w:r/>
            <w:r>
              <w:rPr>
                <w:b/>
                <w:sz w:val="16"/>
              </w:rPr>
              <w:t>High</w:t>
            </w:r>
          </w:p>
        </w:tc>
      </w:tr>
      <w:tr>
        <w:tc>
          <w:tcPr>
            <w:tcW w:type="dxa" w:w="680"/>
          </w:tcPr>
          <w:p>
            <w:r/>
            <w:r>
              <w:rPr>
                <w:sz w:val="16"/>
              </w:rPr>
              <w:t>O-02</w:t>
            </w:r>
          </w:p>
        </w:tc>
        <w:tc>
          <w:tcPr>
            <w:tcW w:type="dxa" w:w="1361"/>
          </w:tcPr>
          <w:p>
            <w:r/>
            <w:r>
              <w:rPr>
                <w:sz w:val="16"/>
              </w:rPr>
              <w:t>IRR; NPC registration circular</w:t>
            </w:r>
          </w:p>
        </w:tc>
        <w:tc>
          <w:tcPr>
            <w:tcW w:type="dxa" w:w="2721"/>
          </w:tcPr>
          <w:p>
            <w:r/>
            <w:r>
              <w:rPr>
                <w:sz w:val="16"/>
              </w:rPr>
              <w:t>Registration status with the NPC not assessed.</w:t>
            </w:r>
          </w:p>
        </w:tc>
        <w:tc>
          <w:tcPr>
            <w:tcW w:type="dxa" w:w="3969"/>
          </w:tcPr>
          <w:p>
            <w:r/>
            <w:r>
              <w:rPr>
                <w:sz w:val="16"/>
              </w:rPr>
              <w:t>Assess whether mandatory registration of the data processing system applies (based on headcount, number of data subjects and SPI processing). Register if required, or document the assessment.</w:t>
            </w:r>
          </w:p>
        </w:tc>
        <w:tc>
          <w:tcPr>
            <w:tcW w:type="dxa" w:w="1020"/>
            <w:shd w:val="clear" w:color="auto" w:fill="FFF3CD"/>
          </w:tcPr>
          <w:p>
            <w:r/>
            <w:r>
              <w:rPr>
                <w:b/>
                <w:sz w:val="16"/>
              </w:rPr>
              <w:t>Medium</w:t>
            </w:r>
          </w:p>
        </w:tc>
      </w:tr>
      <w:tr>
        <w:tc>
          <w:tcPr>
            <w:tcW w:type="dxa" w:w="680"/>
          </w:tcPr>
          <w:p>
            <w:r/>
            <w:r>
              <w:rPr>
                <w:sz w:val="16"/>
              </w:rPr>
              <w:t>O-03</w:t>
            </w:r>
          </w:p>
        </w:tc>
        <w:tc>
          <w:tcPr>
            <w:tcW w:type="dxa" w:w="1361"/>
          </w:tcPr>
          <w:p>
            <w:r/>
            <w:r>
              <w:rPr>
                <w:sz w:val="16"/>
              </w:rPr>
              <w:t>Sec. 14 (processors); Sec. 21</w:t>
            </w:r>
          </w:p>
        </w:tc>
        <w:tc>
          <w:tcPr>
            <w:tcW w:type="dxa" w:w="2721"/>
          </w:tcPr>
          <w:p>
            <w:r/>
            <w:r>
              <w:rPr>
                <w:sz w:val="16"/>
              </w:rPr>
              <w:t>No documented agreements with PayMongo, Xendit, Google, the e-mail provider and hosting provider.</w:t>
            </w:r>
          </w:p>
        </w:tc>
        <w:tc>
          <w:tcPr>
            <w:tcW w:type="dxa" w:w="3969"/>
          </w:tcPr>
          <w:p>
            <w:r/>
            <w:r>
              <w:rPr>
                <w:sz w:val="16"/>
              </w:rPr>
              <w:t>Keep a register of personal information processors, review their data processing terms / DPAs, and disclose them in the Privacy Notice, including cross-border transfers.</w:t>
            </w:r>
          </w:p>
        </w:tc>
        <w:tc>
          <w:tcPr>
            <w:tcW w:type="dxa" w:w="1020"/>
            <w:shd w:val="clear" w:color="auto" w:fill="FFF3CD"/>
          </w:tcPr>
          <w:p>
            <w:r/>
            <w:r>
              <w:rPr>
                <w:b/>
                <w:sz w:val="16"/>
              </w:rPr>
              <w:t>Medium</w:t>
            </w:r>
          </w:p>
        </w:tc>
      </w:tr>
      <w:tr>
        <w:tc>
          <w:tcPr>
            <w:tcW w:type="dxa" w:w="680"/>
          </w:tcPr>
          <w:p>
            <w:r/>
            <w:r>
              <w:rPr>
                <w:sz w:val="16"/>
              </w:rPr>
              <w:t>O-04</w:t>
            </w:r>
          </w:p>
        </w:tc>
        <w:tc>
          <w:tcPr>
            <w:tcW w:type="dxa" w:w="1361"/>
          </w:tcPr>
          <w:p>
            <w:r/>
            <w:r>
              <w:rPr>
                <w:sz w:val="16"/>
              </w:rPr>
              <w:t>Sec. 20(e) – staff confidentiality</w:t>
            </w:r>
          </w:p>
        </w:tc>
        <w:tc>
          <w:tcPr>
            <w:tcW w:type="dxa" w:w="2721"/>
          </w:tcPr>
          <w:p>
            <w:r/>
            <w:r>
              <w:rPr>
                <w:sz w:val="16"/>
              </w:rPr>
              <w:t>Admin assistants have no confidentiality undertaking or privacy training.</w:t>
            </w:r>
          </w:p>
        </w:tc>
        <w:tc>
          <w:tcPr>
            <w:tcW w:type="dxa" w:w="3969"/>
          </w:tcPr>
          <w:p>
            <w:r/>
            <w:r>
              <w:rPr>
                <w:sz w:val="16"/>
              </w:rPr>
              <w:t>Require a signed confidentiality agreement and short privacy training for owners and admin assistants; record acknowledgment in the system on first login (e.g., 'Staff Data Handling Policy' acceptance).</w:t>
            </w:r>
          </w:p>
        </w:tc>
        <w:tc>
          <w:tcPr>
            <w:tcW w:type="dxa" w:w="1020"/>
            <w:shd w:val="clear" w:color="auto" w:fill="FFF3CD"/>
          </w:tcPr>
          <w:p>
            <w:r/>
            <w:r>
              <w:rPr>
                <w:b/>
                <w:sz w:val="16"/>
              </w:rPr>
              <w:t>Medium</w:t>
            </w:r>
          </w:p>
        </w:tc>
      </w:tr>
      <w:tr>
        <w:tc>
          <w:tcPr>
            <w:tcW w:type="dxa" w:w="680"/>
          </w:tcPr>
          <w:p>
            <w:r/>
            <w:r>
              <w:rPr>
                <w:sz w:val="16"/>
              </w:rPr>
              <w:t>O-05</w:t>
            </w:r>
          </w:p>
        </w:tc>
        <w:tc>
          <w:tcPr>
            <w:tcW w:type="dxa" w:w="1361"/>
          </w:tcPr>
          <w:p>
            <w:r/>
            <w:r>
              <w:rPr>
                <w:sz w:val="16"/>
              </w:rPr>
              <w:t>IRR – Privacy Impact Assessment &amp; Privacy Manual</w:t>
            </w:r>
          </w:p>
        </w:tc>
        <w:tc>
          <w:tcPr>
            <w:tcW w:type="dxa" w:w="2721"/>
          </w:tcPr>
          <w:p>
            <w:r/>
            <w:r>
              <w:rPr>
                <w:sz w:val="16"/>
              </w:rPr>
              <w:t>No Privacy Impact Assessment (PIA) or Privacy Manual.</w:t>
            </w:r>
          </w:p>
        </w:tc>
        <w:tc>
          <w:tcPr>
            <w:tcW w:type="dxa" w:w="3969"/>
          </w:tcPr>
          <w:p>
            <w:r/>
            <w:r>
              <w:rPr>
                <w:sz w:val="16"/>
              </w:rPr>
              <w:t>Conduct a PIA for booking, wallet and payment processes and prepare a Privacy Manual describing policies, roles, retention and breach procedures; review annually.</w:t>
            </w:r>
          </w:p>
        </w:tc>
        <w:tc>
          <w:tcPr>
            <w:tcW w:type="dxa" w:w="1020"/>
            <w:shd w:val="clear" w:color="auto" w:fill="FFF3CD"/>
          </w:tcPr>
          <w:p>
            <w:r/>
            <w:r>
              <w:rPr>
                <w:b/>
                <w:sz w:val="16"/>
              </w:rPr>
              <w:t>Medium</w:t>
            </w:r>
          </w:p>
        </w:tc>
      </w:tr>
    </w:tbl>
    <w:p>
      <w:pPr>
        <w:spacing w:after="40"/>
      </w:pPr>
    </w:p>
    <w:p>
      <w:pPr>
        <w:pStyle w:val="Heading1"/>
      </w:pPr>
      <w:r>
        <w:t>6. Recommended Implementation Roadmap</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0F172A"/>
          </w:tcPr>
          <w:p>
            <w:r/>
            <w:r>
              <w:rPr>
                <w:b/>
                <w:color w:val="FFFFFF"/>
                <w:sz w:val="17"/>
              </w:rPr>
              <w:t>Phase</w:t>
            </w:r>
          </w:p>
        </w:tc>
        <w:tc>
          <w:tcPr>
            <w:tcW w:type="dxa" w:w="1984"/>
            <w:shd w:val="clear" w:color="auto" w:fill="0F172A"/>
          </w:tcPr>
          <w:p>
            <w:r/>
            <w:r>
              <w:rPr>
                <w:b/>
                <w:color w:val="FFFFFF"/>
                <w:sz w:val="17"/>
              </w:rPr>
              <w:t>Timeline</w:t>
            </w:r>
          </w:p>
        </w:tc>
        <w:tc>
          <w:tcPr>
            <w:tcW w:type="dxa" w:w="5386"/>
            <w:shd w:val="clear" w:color="auto" w:fill="0F172A"/>
          </w:tcPr>
          <w:p>
            <w:r/>
            <w:r>
              <w:rPr>
                <w:b/>
                <w:color w:val="FFFFFF"/>
                <w:sz w:val="17"/>
              </w:rPr>
              <w:t>Items</w:t>
            </w:r>
          </w:p>
        </w:tc>
      </w:tr>
      <w:tr>
        <w:tc>
          <w:tcPr>
            <w:tcW w:type="dxa" w:w="2268"/>
          </w:tcPr>
          <w:p>
            <w:r/>
            <w:r>
              <w:rPr>
                <w:sz w:val="17"/>
              </w:rPr>
              <w:t>Phase 1 – Stop active exposure</w:t>
            </w:r>
          </w:p>
        </w:tc>
        <w:tc>
          <w:tcPr>
            <w:tcW w:type="dxa" w:w="1984"/>
          </w:tcPr>
          <w:p>
            <w:r/>
            <w:r>
              <w:rPr>
                <w:sz w:val="17"/>
              </w:rPr>
              <w:t>Immediately (1–7 days)</w:t>
            </w:r>
          </w:p>
        </w:tc>
        <w:tc>
          <w:tcPr>
            <w:tcW w:type="dxa" w:w="5386"/>
          </w:tcPr>
          <w:p>
            <w:r/>
            <w:r>
              <w:rPr>
                <w:sz w:val="17"/>
              </w:rPr>
              <w:t>S-01 private receipts, S-02 remove public booking references &amp; mask tracker PII, S-03 encrypt gateway secrets, S-04 disable debug &amp; clean logs, S-05 HTTPS &amp; secure sessions, S-06 rate limiting</w:t>
            </w:r>
          </w:p>
        </w:tc>
      </w:tr>
      <w:tr>
        <w:tc>
          <w:tcPr>
            <w:tcW w:type="dxa" w:w="2268"/>
          </w:tcPr>
          <w:p>
            <w:r/>
            <w:r>
              <w:rPr>
                <w:sz w:val="17"/>
              </w:rPr>
              <w:t>Phase 2 – Consent &amp; transparency</w:t>
            </w:r>
          </w:p>
        </w:tc>
        <w:tc>
          <w:tcPr>
            <w:tcW w:type="dxa" w:w="1984"/>
          </w:tcPr>
          <w:p>
            <w:r/>
            <w:r>
              <w:rPr>
                <w:sz w:val="17"/>
              </w:rPr>
              <w:t>Within 30 days</w:t>
            </w:r>
          </w:p>
        </w:tc>
        <w:tc>
          <w:tcPr>
            <w:tcW w:type="dxa" w:w="5386"/>
          </w:tcPr>
          <w:p>
            <w:r/>
            <w:r>
              <w:rPr>
                <w:sz w:val="17"/>
              </w:rPr>
              <w:t>C-01 consent checkboxes, C-02 consent records, C-03 Privacy Notice update, O-01 DPO, D-01 retention schedule, B-01 breach plan</w:t>
            </w:r>
          </w:p>
        </w:tc>
      </w:tr>
      <w:tr>
        <w:tc>
          <w:tcPr>
            <w:tcW w:type="dxa" w:w="2268"/>
          </w:tcPr>
          <w:p>
            <w:r/>
            <w:r>
              <w:rPr>
                <w:sz w:val="17"/>
              </w:rPr>
              <w:t>Phase 3 – Rights &amp; retention automation</w:t>
            </w:r>
          </w:p>
        </w:tc>
        <w:tc>
          <w:tcPr>
            <w:tcW w:type="dxa" w:w="1984"/>
          </w:tcPr>
          <w:p>
            <w:r/>
            <w:r>
              <w:rPr>
                <w:sz w:val="17"/>
              </w:rPr>
              <w:t>30–60 days</w:t>
            </w:r>
          </w:p>
        </w:tc>
        <w:tc>
          <w:tcPr>
            <w:tcW w:type="dxa" w:w="5386"/>
          </w:tcPr>
          <w:p>
            <w:r/>
            <w:r>
              <w:rPr>
                <w:sz w:val="17"/>
              </w:rPr>
              <w:t>R-01 account deletion/anonymization, R-02 data download, S-07 audit log, D-02 scheduled disposal, R-04 privacy request module</w:t>
            </w:r>
          </w:p>
        </w:tc>
      </w:tr>
      <w:tr>
        <w:tc>
          <w:tcPr>
            <w:tcW w:type="dxa" w:w="2268"/>
          </w:tcPr>
          <w:p>
            <w:r/>
            <w:r>
              <w:rPr>
                <w:sz w:val="17"/>
              </w:rPr>
              <w:t>Phase 4 – Hardening &amp; governance</w:t>
            </w:r>
          </w:p>
        </w:tc>
        <w:tc>
          <w:tcPr>
            <w:tcW w:type="dxa" w:w="1984"/>
          </w:tcPr>
          <w:p>
            <w:r/>
            <w:r>
              <w:rPr>
                <w:sz w:val="17"/>
              </w:rPr>
              <w:t>60–90 days</w:t>
            </w:r>
          </w:p>
        </w:tc>
        <w:tc>
          <w:tcPr>
            <w:tcW w:type="dxa" w:w="5386"/>
          </w:tcPr>
          <w:p>
            <w:r/>
            <w:r>
              <w:rPr>
                <w:sz w:val="17"/>
              </w:rPr>
              <w:t>S-08 2FA, S-09 backups, S-10 masking for staff, C-04–C-06, O-02–O-05, B-02, D-03</w:t>
            </w:r>
          </w:p>
        </w:tc>
      </w:tr>
      <w:tr>
        <w:tc>
          <w:tcPr>
            <w:tcW w:type="dxa" w:w="2268"/>
          </w:tcPr>
          <w:p>
            <w:r/>
            <w:r>
              <w:rPr>
                <w:sz w:val="17"/>
              </w:rPr>
              <w:t>Phase 5 – Continuous improvement</w:t>
            </w:r>
          </w:p>
        </w:tc>
        <w:tc>
          <w:tcPr>
            <w:tcW w:type="dxa" w:w="1984"/>
          </w:tcPr>
          <w:p>
            <w:r/>
            <w:r>
              <w:rPr>
                <w:sz w:val="17"/>
              </w:rPr>
              <w:t>Ongoing</w:t>
            </w:r>
          </w:p>
        </w:tc>
        <w:tc>
          <w:tcPr>
            <w:tcW w:type="dxa" w:w="5386"/>
          </w:tcPr>
          <w:p>
            <w:r/>
            <w:r>
              <w:rPr>
                <w:sz w:val="17"/>
              </w:rPr>
              <w:t>S-11, C-07, R-05, B-03; annual PIA review, staff refresher training</w:t>
            </w:r>
          </w:p>
        </w:tc>
      </w:tr>
    </w:tbl>
    <w:p>
      <w:pPr>
        <w:spacing w:after="40"/>
      </w:pPr>
    </w:p>
    <w:p>
      <w:pPr>
        <w:pStyle w:val="Heading1"/>
      </w:pPr>
      <w:r>
        <w:t>7. Proposed Technical Change Map (for later implementation)</w:t>
      </w:r>
    </w:p>
    <w:p>
      <w:pPr>
        <w:spacing w:after="80"/>
      </w:pPr>
      <w:r>
        <w:rPr>
          <w:b w:val="0"/>
          <w:i w:val="0"/>
        </w:rPr>
        <w:t>No code has been modified. The following components are expected to be touched when implementing the items above:</w:t>
      </w:r>
    </w:p>
    <w:tbl>
      <w:tblPr>
        <w:tblStyle w:val="TableGrid"/>
        <w:tblW w:type="auto" w:w="0"/>
        <w:jc w:val="center"/>
        <w:tblLook w:firstColumn="1" w:firstRow="1" w:lastColumn="0" w:lastRow="0" w:noHBand="0" w:noVBand="1" w:val="04A0"/>
      </w:tblPr>
      <w:tblGrid>
        <w:gridCol w:w="3324"/>
        <w:gridCol w:w="3324"/>
        <w:gridCol w:w="3324"/>
      </w:tblGrid>
      <w:tr>
        <w:tc>
          <w:tcPr>
            <w:tcW w:type="dxa" w:w="2268"/>
            <w:shd w:val="clear" w:color="auto" w:fill="0F172A"/>
          </w:tcPr>
          <w:p>
            <w:r/>
            <w:r>
              <w:rPr>
                <w:b/>
                <w:color w:val="FFFFFF"/>
                <w:sz w:val="17"/>
              </w:rPr>
              <w:t>Area</w:t>
            </w:r>
          </w:p>
        </w:tc>
        <w:tc>
          <w:tcPr>
            <w:tcW w:type="dxa" w:w="5669"/>
            <w:shd w:val="clear" w:color="auto" w:fill="0F172A"/>
          </w:tcPr>
          <w:p>
            <w:r/>
            <w:r>
              <w:rPr>
                <w:b/>
                <w:color w:val="FFFFFF"/>
                <w:sz w:val="17"/>
              </w:rPr>
              <w:t>Files / components (current repository)</w:t>
            </w:r>
          </w:p>
        </w:tc>
        <w:tc>
          <w:tcPr>
            <w:tcW w:type="dxa" w:w="1701"/>
            <w:shd w:val="clear" w:color="auto" w:fill="0F172A"/>
          </w:tcPr>
          <w:p>
            <w:r/>
            <w:r>
              <w:rPr>
                <w:b/>
                <w:color w:val="FFFFFF"/>
                <w:sz w:val="17"/>
              </w:rPr>
              <w:t>Related IDs</w:t>
            </w:r>
          </w:p>
        </w:tc>
      </w:tr>
      <w:tr>
        <w:tc>
          <w:tcPr>
            <w:tcW w:type="dxa" w:w="2268"/>
          </w:tcPr>
          <w:p>
            <w:r/>
            <w:r>
              <w:rPr>
                <w:sz w:val="17"/>
              </w:rPr>
              <w:t>Private receipt storage &amp; secure viewer</w:t>
            </w:r>
          </w:p>
        </w:tc>
        <w:tc>
          <w:tcPr>
            <w:tcW w:type="dxa" w:w="5669"/>
          </w:tcPr>
          <w:p>
            <w:r/>
            <w:r>
              <w:rPr>
                <w:sz w:val="17"/>
              </w:rPr>
              <w:t>BookingApiController::submitManualReceipt, CreditController (receipt upload), config/filesystems.php, new ReceiptController + route, owner approvals view, migration script for existing files</w:t>
            </w:r>
          </w:p>
        </w:tc>
        <w:tc>
          <w:tcPr>
            <w:tcW w:type="dxa" w:w="1701"/>
          </w:tcPr>
          <w:p>
            <w:r/>
            <w:r>
              <w:rPr>
                <w:sz w:val="17"/>
              </w:rPr>
              <w:t>S-01</w:t>
            </w:r>
          </w:p>
        </w:tc>
      </w:tr>
      <w:tr>
        <w:tc>
          <w:tcPr>
            <w:tcW w:type="dxa" w:w="2268"/>
          </w:tcPr>
          <w:p>
            <w:r/>
            <w:r>
              <w:rPr>
                <w:sz w:val="17"/>
              </w:rPr>
              <w:t>Public data minimization</w:t>
            </w:r>
          </w:p>
        </w:tc>
        <w:tc>
          <w:tcPr>
            <w:tcW w:type="dxa" w:w="5669"/>
          </w:tcPr>
          <w:p>
            <w:r/>
            <w:r>
              <w:rPr>
                <w:sz w:val="17"/>
              </w:rPr>
              <w:t>app/Services/BookingService.php (slot payload), app/Events/CourtSlotsUpdated.php, resources/views/bookings/track.blade.php, HomeController (track/lookup), welcome.blade.php JS</w:t>
            </w:r>
          </w:p>
        </w:tc>
        <w:tc>
          <w:tcPr>
            <w:tcW w:type="dxa" w:w="1701"/>
          </w:tcPr>
          <w:p>
            <w:r/>
            <w:r>
              <w:rPr>
                <w:sz w:val="17"/>
              </w:rPr>
              <w:t>S-02</w:t>
            </w:r>
          </w:p>
        </w:tc>
      </w:tr>
      <w:tr>
        <w:tc>
          <w:tcPr>
            <w:tcW w:type="dxa" w:w="2268"/>
          </w:tcPr>
          <w:p>
            <w:r/>
            <w:r>
              <w:rPr>
                <w:sz w:val="17"/>
              </w:rPr>
              <w:t>Secret encryption</w:t>
            </w:r>
          </w:p>
        </w:tc>
        <w:tc>
          <w:tcPr>
            <w:tcW w:type="dxa" w:w="5669"/>
          </w:tcPr>
          <w:p>
            <w:r/>
            <w:r>
              <w:rPr>
                <w:sz w:val="17"/>
              </w:rPr>
              <w:t>app/Models/VenueSetting.php ($casts 'encrypted'), resources/views/owner/settings.blade.php (masking), data migration to re-save values</w:t>
            </w:r>
          </w:p>
        </w:tc>
        <w:tc>
          <w:tcPr>
            <w:tcW w:type="dxa" w:w="1701"/>
          </w:tcPr>
          <w:p>
            <w:r/>
            <w:r>
              <w:rPr>
                <w:sz w:val="17"/>
              </w:rPr>
              <w:t>S-03</w:t>
            </w:r>
          </w:p>
        </w:tc>
      </w:tr>
      <w:tr>
        <w:tc>
          <w:tcPr>
            <w:tcW w:type="dxa" w:w="2268"/>
          </w:tcPr>
          <w:p>
            <w:r/>
            <w:r>
              <w:rPr>
                <w:sz w:val="17"/>
              </w:rPr>
              <w:t>Environment &amp; transport security</w:t>
            </w:r>
          </w:p>
        </w:tc>
        <w:tc>
          <w:tcPr>
            <w:tcW w:type="dxa" w:w="5669"/>
          </w:tcPr>
          <w:p>
            <w:r/>
            <w:r>
              <w:rPr>
                <w:sz w:val="17"/>
              </w:rPr>
              <w:t>.env / .env.example, config/logging.php, config/session.php, middleware for HTTPS/HSTS</w:t>
            </w:r>
          </w:p>
        </w:tc>
        <w:tc>
          <w:tcPr>
            <w:tcW w:type="dxa" w:w="1701"/>
          </w:tcPr>
          <w:p>
            <w:r/>
            <w:r>
              <w:rPr>
                <w:sz w:val="17"/>
              </w:rPr>
              <w:t>S-04, S-05</w:t>
            </w:r>
          </w:p>
        </w:tc>
      </w:tr>
      <w:tr>
        <w:tc>
          <w:tcPr>
            <w:tcW w:type="dxa" w:w="2268"/>
          </w:tcPr>
          <w:p>
            <w:r/>
            <w:r>
              <w:rPr>
                <w:sz w:val="17"/>
              </w:rPr>
              <w:t>Rate limiting</w:t>
            </w:r>
          </w:p>
        </w:tc>
        <w:tc>
          <w:tcPr>
            <w:tcW w:type="dxa" w:w="5669"/>
          </w:tcPr>
          <w:p>
            <w:r/>
            <w:r>
              <w:rPr>
                <w:sz w:val="17"/>
              </w:rPr>
              <w:t>routes/web.php (throttle middleware), AppServiceProvider (RateLimiter definitions)</w:t>
            </w:r>
          </w:p>
        </w:tc>
        <w:tc>
          <w:tcPr>
            <w:tcW w:type="dxa" w:w="1701"/>
          </w:tcPr>
          <w:p>
            <w:r/>
            <w:r>
              <w:rPr>
                <w:sz w:val="17"/>
              </w:rPr>
              <w:t>S-06</w:t>
            </w:r>
          </w:p>
        </w:tc>
      </w:tr>
      <w:tr>
        <w:tc>
          <w:tcPr>
            <w:tcW w:type="dxa" w:w="2268"/>
          </w:tcPr>
          <w:p>
            <w:r/>
            <w:r>
              <w:rPr>
                <w:sz w:val="17"/>
              </w:rPr>
              <w:t>Audit log</w:t>
            </w:r>
          </w:p>
        </w:tc>
        <w:tc>
          <w:tcPr>
            <w:tcW w:type="dxa" w:w="5669"/>
          </w:tcPr>
          <w:p>
            <w:r/>
            <w:r>
              <w:rPr>
                <w:sz w:val="17"/>
              </w:rPr>
              <w:t>New migration + AuditLog model, middleware/observers, owner portal view</w:t>
            </w:r>
          </w:p>
        </w:tc>
        <w:tc>
          <w:tcPr>
            <w:tcW w:type="dxa" w:w="1701"/>
          </w:tcPr>
          <w:p>
            <w:r/>
            <w:r>
              <w:rPr>
                <w:sz w:val="17"/>
              </w:rPr>
              <w:t>S-07</w:t>
            </w:r>
          </w:p>
        </w:tc>
      </w:tr>
      <w:tr>
        <w:tc>
          <w:tcPr>
            <w:tcW w:type="dxa" w:w="2268"/>
          </w:tcPr>
          <w:p>
            <w:r/>
            <w:r>
              <w:rPr>
                <w:sz w:val="17"/>
              </w:rPr>
              <w:t>Consent</w:t>
            </w:r>
          </w:p>
        </w:tc>
        <w:tc>
          <w:tcPr>
            <w:tcW w:type="dxa" w:w="5669"/>
          </w:tcPr>
          <w:p>
            <w:r/>
            <w:r>
              <w:rPr>
                <w:sz w:val="17"/>
              </w:rPr>
              <w:t>auth/register.blade.php, welcome.blade.php (guest checkout), SocialAuthController, new consent_records migration + model</w:t>
            </w:r>
          </w:p>
        </w:tc>
        <w:tc>
          <w:tcPr>
            <w:tcW w:type="dxa" w:w="1701"/>
          </w:tcPr>
          <w:p>
            <w:r/>
            <w:r>
              <w:rPr>
                <w:sz w:val="17"/>
              </w:rPr>
              <w:t>C-01, C-02</w:t>
            </w:r>
          </w:p>
        </w:tc>
      </w:tr>
      <w:tr>
        <w:tc>
          <w:tcPr>
            <w:tcW w:type="dxa" w:w="2268"/>
          </w:tcPr>
          <w:p>
            <w:r/>
            <w:r>
              <w:rPr>
                <w:sz w:val="17"/>
              </w:rPr>
              <w:t>Privacy Notice</w:t>
            </w:r>
          </w:p>
        </w:tc>
        <w:tc>
          <w:tcPr>
            <w:tcW w:type="dxa" w:w="5669"/>
          </w:tcPr>
          <w:p>
            <w:r/>
            <w:r>
              <w:rPr>
                <w:sz w:val="17"/>
              </w:rPr>
              <w:t>resources/views/pages/privacy.blade.php, layouts/app.blade.php footer (DPO contact)</w:t>
            </w:r>
          </w:p>
        </w:tc>
        <w:tc>
          <w:tcPr>
            <w:tcW w:type="dxa" w:w="1701"/>
          </w:tcPr>
          <w:p>
            <w:r/>
            <w:r>
              <w:rPr>
                <w:sz w:val="17"/>
              </w:rPr>
              <w:t>C-03, C-04, C-07, O-01</w:t>
            </w:r>
          </w:p>
        </w:tc>
      </w:tr>
      <w:tr>
        <w:tc>
          <w:tcPr>
            <w:tcW w:type="dxa" w:w="2268"/>
          </w:tcPr>
          <w:p>
            <w:r/>
            <w:r>
              <w:rPr>
                <w:sz w:val="17"/>
              </w:rPr>
              <w:t>Data subject rights</w:t>
            </w:r>
          </w:p>
        </w:tc>
        <w:tc>
          <w:tcPr>
            <w:tcW w:type="dxa" w:w="5669"/>
          </w:tcPr>
          <w:p>
            <w:r/>
            <w:r>
              <w:rPr>
                <w:sz w:val="17"/>
              </w:rPr>
              <w:t>ProfileController (export, delete/anonymize), profile/edit.blade.php, OwnerController::destroyUser, new PrivacyRequest module</w:t>
            </w:r>
          </w:p>
        </w:tc>
        <w:tc>
          <w:tcPr>
            <w:tcW w:type="dxa" w:w="1701"/>
          </w:tcPr>
          <w:p>
            <w:r/>
            <w:r>
              <w:rPr>
                <w:sz w:val="17"/>
              </w:rPr>
              <w:t>R-01 – R-05</w:t>
            </w:r>
          </w:p>
        </w:tc>
      </w:tr>
      <w:tr>
        <w:tc>
          <w:tcPr>
            <w:tcW w:type="dxa" w:w="2268"/>
          </w:tcPr>
          <w:p>
            <w:r/>
            <w:r>
              <w:rPr>
                <w:sz w:val="17"/>
              </w:rPr>
              <w:t>Retention</w:t>
            </w:r>
          </w:p>
        </w:tc>
        <w:tc>
          <w:tcPr>
            <w:tcW w:type="dxa" w:w="5669"/>
          </w:tcPr>
          <w:p>
            <w:r/>
            <w:r>
              <w:rPr>
                <w:sz w:val="17"/>
              </w:rPr>
              <w:t>New Artisan commands in app/Console/Commands, routes/console.php scheduler</w:t>
            </w:r>
          </w:p>
        </w:tc>
        <w:tc>
          <w:tcPr>
            <w:tcW w:type="dxa" w:w="1701"/>
          </w:tcPr>
          <w:p>
            <w:r/>
            <w:r>
              <w:rPr>
                <w:sz w:val="17"/>
              </w:rPr>
              <w:t>D-01 – D-03</w:t>
            </w:r>
          </w:p>
        </w:tc>
      </w:tr>
      <w:tr>
        <w:tc>
          <w:tcPr>
            <w:tcW w:type="dxa" w:w="2268"/>
          </w:tcPr>
          <w:p>
            <w:r/>
            <w:r>
              <w:rPr>
                <w:sz w:val="17"/>
              </w:rPr>
              <w:t>2FA &amp; staff policy</w:t>
            </w:r>
          </w:p>
        </w:tc>
        <w:tc>
          <w:tcPr>
            <w:tcW w:type="dxa" w:w="5669"/>
          </w:tcPr>
          <w:p>
            <w:r/>
            <w:r>
              <w:rPr>
                <w:sz w:val="17"/>
              </w:rPr>
              <w:t>AuthController, users migration (2FA secret, policy_accepted_at), owner layout</w:t>
            </w:r>
          </w:p>
        </w:tc>
        <w:tc>
          <w:tcPr>
            <w:tcW w:type="dxa" w:w="1701"/>
          </w:tcPr>
          <w:p>
            <w:r/>
            <w:r>
              <w:rPr>
                <w:sz w:val="17"/>
              </w:rPr>
              <w:t>S-08, O-04</w:t>
            </w:r>
          </w:p>
        </w:tc>
      </w:tr>
    </w:tbl>
    <w:p>
      <w:pPr>
        <w:spacing w:after="40"/>
      </w:pPr>
    </w:p>
    <w:p>
      <w:pPr>
        <w:pStyle w:val="Heading1"/>
      </w:pPr>
      <w:r>
        <w:t>Annex A – Penalties under RA 10173 (Summary)</w:t>
      </w:r>
    </w:p>
    <w:p>
      <w:pPr>
        <w:spacing w:after="80"/>
      </w:pPr>
      <w:r>
        <w:rPr>
          <w:b w:val="0"/>
          <w:i/>
          <w:color w:val="596579"/>
          <w:sz w:val="18"/>
        </w:rPr>
        <w:t>Indicative summary of penalties; refer to the full text of the law for exact provisions.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020"/>
            <w:shd w:val="clear" w:color="auto" w:fill="0F172A"/>
          </w:tcPr>
          <w:p>
            <w:r/>
            <w:r>
              <w:rPr>
                <w:b/>
                <w:color w:val="FFFFFF"/>
                <w:sz w:val="17"/>
              </w:rPr>
              <w:t>Section</w:t>
            </w:r>
          </w:p>
        </w:tc>
        <w:tc>
          <w:tcPr>
            <w:tcW w:type="dxa" w:w="2835"/>
            <w:shd w:val="clear" w:color="auto" w:fill="0F172A"/>
          </w:tcPr>
          <w:p>
            <w:r/>
            <w:r>
              <w:rPr>
                <w:b/>
                <w:color w:val="FFFFFF"/>
                <w:sz w:val="17"/>
              </w:rPr>
              <w:t>Offense</w:t>
            </w:r>
          </w:p>
        </w:tc>
        <w:tc>
          <w:tcPr>
            <w:tcW w:type="dxa" w:w="2891"/>
            <w:shd w:val="clear" w:color="auto" w:fill="0F172A"/>
          </w:tcPr>
          <w:p>
            <w:r/>
            <w:r>
              <w:rPr>
                <w:b/>
                <w:color w:val="FFFFFF"/>
                <w:sz w:val="17"/>
              </w:rPr>
              <w:t>Penalty (personal information)</w:t>
            </w:r>
          </w:p>
        </w:tc>
        <w:tc>
          <w:tcPr>
            <w:tcW w:type="dxa" w:w="2891"/>
            <w:shd w:val="clear" w:color="auto" w:fill="0F172A"/>
          </w:tcPr>
          <w:p>
            <w:r/>
            <w:r>
              <w:rPr>
                <w:b/>
                <w:color w:val="FFFFFF"/>
                <w:sz w:val="17"/>
              </w:rPr>
              <w:t>Penalty (sensitive personal information)</w:t>
            </w:r>
          </w:p>
        </w:tc>
      </w:tr>
      <w:tr>
        <w:tc>
          <w:tcPr>
            <w:tcW w:type="dxa" w:w="1020"/>
          </w:tcPr>
          <w:p>
            <w:r/>
            <w:r>
              <w:rPr>
                <w:sz w:val="17"/>
              </w:rPr>
              <w:t>Sec. 25</w:t>
            </w:r>
          </w:p>
        </w:tc>
        <w:tc>
          <w:tcPr>
            <w:tcW w:type="dxa" w:w="2835"/>
          </w:tcPr>
          <w:p>
            <w:r/>
            <w:r>
              <w:rPr>
                <w:sz w:val="17"/>
              </w:rPr>
              <w:t>Unauthorized processing</w:t>
            </w:r>
          </w:p>
        </w:tc>
        <w:tc>
          <w:tcPr>
            <w:tcW w:type="dxa" w:w="2891"/>
          </w:tcPr>
          <w:p>
            <w:r/>
            <w:r>
              <w:rPr>
                <w:sz w:val="17"/>
              </w:rPr>
              <w:t>1–3 years imprisonment; ₱500,000 – ₱2,000,000</w:t>
            </w:r>
          </w:p>
        </w:tc>
        <w:tc>
          <w:tcPr>
            <w:tcW w:type="dxa" w:w="2891"/>
          </w:tcPr>
          <w:p>
            <w:r/>
            <w:r>
              <w:rPr>
                <w:sz w:val="17"/>
              </w:rPr>
              <w:t>3–6 years; ₱500,000 – ₱4,000,000</w:t>
            </w:r>
          </w:p>
        </w:tc>
      </w:tr>
      <w:tr>
        <w:tc>
          <w:tcPr>
            <w:tcW w:type="dxa" w:w="1020"/>
          </w:tcPr>
          <w:p>
            <w:r/>
            <w:r>
              <w:rPr>
                <w:sz w:val="17"/>
              </w:rPr>
              <w:t>Sec. 26</w:t>
            </w:r>
          </w:p>
        </w:tc>
        <w:tc>
          <w:tcPr>
            <w:tcW w:type="dxa" w:w="2835"/>
          </w:tcPr>
          <w:p>
            <w:r/>
            <w:r>
              <w:rPr>
                <w:sz w:val="17"/>
              </w:rPr>
              <w:t>Accessing personal information due to negligence</w:t>
            </w:r>
          </w:p>
        </w:tc>
        <w:tc>
          <w:tcPr>
            <w:tcW w:type="dxa" w:w="2891"/>
          </w:tcPr>
          <w:p>
            <w:r/>
            <w:r>
              <w:rPr>
                <w:sz w:val="17"/>
              </w:rPr>
              <w:t>1–3 years; ₱500,000 – ₱2,000,000</w:t>
            </w:r>
          </w:p>
        </w:tc>
        <w:tc>
          <w:tcPr>
            <w:tcW w:type="dxa" w:w="2891"/>
          </w:tcPr>
          <w:p>
            <w:r/>
            <w:r>
              <w:rPr>
                <w:sz w:val="17"/>
              </w:rPr>
              <w:t>3–6 years; ₱500,000 – ₱4,000,000</w:t>
            </w:r>
          </w:p>
        </w:tc>
      </w:tr>
      <w:tr>
        <w:tc>
          <w:tcPr>
            <w:tcW w:type="dxa" w:w="1020"/>
          </w:tcPr>
          <w:p>
            <w:r/>
            <w:r>
              <w:rPr>
                <w:sz w:val="17"/>
              </w:rPr>
              <w:t>Sec. 27</w:t>
            </w:r>
          </w:p>
        </w:tc>
        <w:tc>
          <w:tcPr>
            <w:tcW w:type="dxa" w:w="2835"/>
          </w:tcPr>
          <w:p>
            <w:r/>
            <w:r>
              <w:rPr>
                <w:sz w:val="17"/>
              </w:rPr>
              <w:t>Improper disposal</w:t>
            </w:r>
          </w:p>
        </w:tc>
        <w:tc>
          <w:tcPr>
            <w:tcW w:type="dxa" w:w="2891"/>
          </w:tcPr>
          <w:p>
            <w:r/>
            <w:r>
              <w:rPr>
                <w:sz w:val="17"/>
              </w:rPr>
              <w:t>6 months – 2 years; ₱100,000 – ₱500,000</w:t>
            </w:r>
          </w:p>
        </w:tc>
        <w:tc>
          <w:tcPr>
            <w:tcW w:type="dxa" w:w="2891"/>
          </w:tcPr>
          <w:p>
            <w:r/>
            <w:r>
              <w:rPr>
                <w:sz w:val="17"/>
              </w:rPr>
              <w:t>1–3 years; ₱100,000 – ₱1,000,000</w:t>
            </w:r>
          </w:p>
        </w:tc>
      </w:tr>
      <w:tr>
        <w:tc>
          <w:tcPr>
            <w:tcW w:type="dxa" w:w="1020"/>
          </w:tcPr>
          <w:p>
            <w:r/>
            <w:r>
              <w:rPr>
                <w:sz w:val="17"/>
              </w:rPr>
              <w:t>Sec. 28</w:t>
            </w:r>
          </w:p>
        </w:tc>
        <w:tc>
          <w:tcPr>
            <w:tcW w:type="dxa" w:w="2835"/>
          </w:tcPr>
          <w:p>
            <w:r/>
            <w:r>
              <w:rPr>
                <w:sz w:val="17"/>
              </w:rPr>
              <w:t>Processing for unauthorized purposes</w:t>
            </w:r>
          </w:p>
        </w:tc>
        <w:tc>
          <w:tcPr>
            <w:tcW w:type="dxa" w:w="2891"/>
          </w:tcPr>
          <w:p>
            <w:r/>
            <w:r>
              <w:rPr>
                <w:sz w:val="17"/>
              </w:rPr>
              <w:t>18 months – 5 years; ₱500,000 – ₱1,000,000</w:t>
            </w:r>
          </w:p>
        </w:tc>
        <w:tc>
          <w:tcPr>
            <w:tcW w:type="dxa" w:w="2891"/>
          </w:tcPr>
          <w:p>
            <w:r/>
            <w:r>
              <w:rPr>
                <w:sz w:val="17"/>
              </w:rPr>
              <w:t>2–7 years; ₱500,000 – ₱2,000,000</w:t>
            </w:r>
          </w:p>
        </w:tc>
      </w:tr>
      <w:tr>
        <w:tc>
          <w:tcPr>
            <w:tcW w:type="dxa" w:w="1020"/>
          </w:tcPr>
          <w:p>
            <w:r/>
            <w:r>
              <w:rPr>
                <w:sz w:val="17"/>
              </w:rPr>
              <w:t>Sec. 29</w:t>
            </w:r>
          </w:p>
        </w:tc>
        <w:tc>
          <w:tcPr>
            <w:tcW w:type="dxa" w:w="2835"/>
          </w:tcPr>
          <w:p>
            <w:r/>
            <w:r>
              <w:rPr>
                <w:sz w:val="17"/>
              </w:rPr>
              <w:t>Unauthorized access or intentional breach</w:t>
            </w:r>
          </w:p>
        </w:tc>
        <w:tc>
          <w:tcPr>
            <w:tcW w:type="dxa" w:w="2891"/>
          </w:tcPr>
          <w:p>
            <w:r/>
            <w:r>
              <w:rPr>
                <w:sz w:val="17"/>
              </w:rPr>
              <w:t>1–3 years; ₱500,000 – ₱2,000,000</w:t>
            </w:r>
          </w:p>
        </w:tc>
        <w:tc>
          <w:tcPr>
            <w:tcW w:type="dxa" w:w="2891"/>
          </w:tcPr>
          <w:p>
            <w:r/>
            <w:r>
              <w:rPr>
                <w:sz w:val="17"/>
              </w:rPr>
              <w:t>–</w:t>
            </w:r>
          </w:p>
        </w:tc>
      </w:tr>
      <w:tr>
        <w:tc>
          <w:tcPr>
            <w:tcW w:type="dxa" w:w="1020"/>
          </w:tcPr>
          <w:p>
            <w:r/>
            <w:r>
              <w:rPr>
                <w:sz w:val="17"/>
              </w:rPr>
              <w:t>Sec. 30</w:t>
            </w:r>
          </w:p>
        </w:tc>
        <w:tc>
          <w:tcPr>
            <w:tcW w:type="dxa" w:w="2835"/>
          </w:tcPr>
          <w:p>
            <w:r/>
            <w:r>
              <w:rPr>
                <w:sz w:val="17"/>
              </w:rPr>
              <w:t>Concealment of security breaches</w:t>
            </w:r>
          </w:p>
        </w:tc>
        <w:tc>
          <w:tcPr>
            <w:tcW w:type="dxa" w:w="2891"/>
          </w:tcPr>
          <w:p>
            <w:r/>
            <w:r>
              <w:rPr>
                <w:sz w:val="17"/>
              </w:rPr>
              <w:t>18 months – 5 years; ₱500,000 – ₱1,000,000</w:t>
            </w:r>
          </w:p>
        </w:tc>
        <w:tc>
          <w:tcPr>
            <w:tcW w:type="dxa" w:w="2891"/>
          </w:tcPr>
          <w:p>
            <w:r/>
            <w:r>
              <w:rPr>
                <w:sz w:val="17"/>
              </w:rPr>
              <w:t>–</w:t>
            </w:r>
          </w:p>
        </w:tc>
      </w:tr>
      <w:tr>
        <w:tc>
          <w:tcPr>
            <w:tcW w:type="dxa" w:w="1020"/>
          </w:tcPr>
          <w:p>
            <w:r/>
            <w:r>
              <w:rPr>
                <w:sz w:val="17"/>
              </w:rPr>
              <w:t>Sec. 31</w:t>
            </w:r>
          </w:p>
        </w:tc>
        <w:tc>
          <w:tcPr>
            <w:tcW w:type="dxa" w:w="2835"/>
          </w:tcPr>
          <w:p>
            <w:r/>
            <w:r>
              <w:rPr>
                <w:sz w:val="17"/>
              </w:rPr>
              <w:t>Malicious disclosure</w:t>
            </w:r>
          </w:p>
        </w:tc>
        <w:tc>
          <w:tcPr>
            <w:tcW w:type="dxa" w:w="2891"/>
          </w:tcPr>
          <w:p>
            <w:r/>
            <w:r>
              <w:rPr>
                <w:sz w:val="17"/>
              </w:rPr>
              <w:t>18 months – 5 years; ₱500,000 – ₱1,000,000</w:t>
            </w:r>
          </w:p>
        </w:tc>
        <w:tc>
          <w:tcPr>
            <w:tcW w:type="dxa" w:w="2891"/>
          </w:tcPr>
          <w:p>
            <w:r/>
            <w:r>
              <w:rPr>
                <w:sz w:val="17"/>
              </w:rPr>
              <w:t>–</w:t>
            </w:r>
          </w:p>
        </w:tc>
      </w:tr>
      <w:tr>
        <w:tc>
          <w:tcPr>
            <w:tcW w:type="dxa" w:w="1020"/>
          </w:tcPr>
          <w:p>
            <w:r/>
            <w:r>
              <w:rPr>
                <w:sz w:val="17"/>
              </w:rPr>
              <w:t>Sec. 32</w:t>
            </w:r>
          </w:p>
        </w:tc>
        <w:tc>
          <w:tcPr>
            <w:tcW w:type="dxa" w:w="2835"/>
          </w:tcPr>
          <w:p>
            <w:r/>
            <w:r>
              <w:rPr>
                <w:sz w:val="17"/>
              </w:rPr>
              <w:t>Unauthorized disclosure</w:t>
            </w:r>
          </w:p>
        </w:tc>
        <w:tc>
          <w:tcPr>
            <w:tcW w:type="dxa" w:w="2891"/>
          </w:tcPr>
          <w:p>
            <w:r/>
            <w:r>
              <w:rPr>
                <w:sz w:val="17"/>
              </w:rPr>
              <w:t>1–3 years; ₱500,000 – ₱1,000,000</w:t>
            </w:r>
          </w:p>
        </w:tc>
        <w:tc>
          <w:tcPr>
            <w:tcW w:type="dxa" w:w="2891"/>
          </w:tcPr>
          <w:p>
            <w:r/>
            <w:r>
              <w:rPr>
                <w:sz w:val="17"/>
              </w:rPr>
              <w:t>3–5 years; ₱500,000 – ₱2,000,000</w:t>
            </w:r>
          </w:p>
        </w:tc>
      </w:tr>
    </w:tbl>
    <w:p>
      <w:pPr>
        <w:spacing w:after="40"/>
      </w:pPr>
    </w:p>
    <w:p>
      <w:pPr>
        <w:spacing w:after="80"/>
      </w:pPr>
      <w:r>
        <w:rPr>
          <w:b w:val="0"/>
          <w:i w:val="0"/>
          <w:sz w:val="19"/>
        </w:rPr>
        <w:t>Under Sec. 34, where the offender is a corporation or juridical person, the penalty is imposed on the responsible officers who participated in or, by gross negligence, allowed the commission of the crime. Sec. 35 imposes the maximum penalty when the personal information of at least 100 persons is harmed.</w:t>
      </w:r>
    </w:p>
    <w:p>
      <w:pPr>
        <w:pStyle w:val="Heading1"/>
      </w:pPr>
      <w:r>
        <w:t>Annex B – Data Subject Rights Checklist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268"/>
            <w:shd w:val="clear" w:color="auto" w:fill="0F172A"/>
          </w:tcPr>
          <w:p>
            <w:r/>
            <w:r>
              <w:rPr>
                <w:b/>
                <w:color w:val="FFFFFF"/>
                <w:sz w:val="17"/>
              </w:rPr>
              <w:t>Right</w:t>
            </w:r>
          </w:p>
        </w:tc>
        <w:tc>
          <w:tcPr>
            <w:tcW w:type="dxa" w:w="1587"/>
            <w:shd w:val="clear" w:color="auto" w:fill="0F172A"/>
          </w:tcPr>
          <w:p>
            <w:r/>
            <w:r>
              <w:rPr>
                <w:b/>
                <w:color w:val="FFFFFF"/>
                <w:sz w:val="17"/>
              </w:rPr>
              <w:t>Legal basis</w:t>
            </w:r>
          </w:p>
        </w:tc>
        <w:tc>
          <w:tcPr>
            <w:tcW w:type="dxa" w:w="4082"/>
            <w:shd w:val="clear" w:color="auto" w:fill="0F172A"/>
          </w:tcPr>
          <w:p>
            <w:r/>
            <w:r>
              <w:rPr>
                <w:b/>
                <w:color w:val="FFFFFF"/>
                <w:sz w:val="17"/>
              </w:rPr>
              <w:t>How the system should support it</w:t>
            </w:r>
          </w:p>
        </w:tc>
        <w:tc>
          <w:tcPr>
            <w:tcW w:type="dxa" w:w="1701"/>
            <w:shd w:val="clear" w:color="auto" w:fill="0F172A"/>
          </w:tcPr>
          <w:p>
            <w:r/>
            <w:r>
              <w:rPr>
                <w:b/>
                <w:color w:val="FFFFFF"/>
                <w:sz w:val="17"/>
              </w:rPr>
              <w:t>Current</w:t>
            </w:r>
          </w:p>
        </w:tc>
      </w:tr>
      <w:tr>
        <w:tc>
          <w:tcPr>
            <w:tcW w:type="dxa" w:w="2268"/>
          </w:tcPr>
          <w:p>
            <w:r/>
            <w:r>
              <w:rPr>
                <w:sz w:val="17"/>
              </w:rPr>
              <w:t>Right to be informed</w:t>
            </w:r>
          </w:p>
        </w:tc>
        <w:tc>
          <w:tcPr>
            <w:tcW w:type="dxa" w:w="1587"/>
          </w:tcPr>
          <w:p>
            <w:r/>
            <w:r>
              <w:rPr>
                <w:sz w:val="17"/>
              </w:rPr>
              <w:t>Sec. 16(a),(b)</w:t>
            </w:r>
          </w:p>
        </w:tc>
        <w:tc>
          <w:tcPr>
            <w:tcW w:type="dxa" w:w="4082"/>
          </w:tcPr>
          <w:p>
            <w:r/>
            <w:r>
              <w:rPr>
                <w:sz w:val="17"/>
              </w:rPr>
              <w:t>Privacy Notice + just-in-time notices + change notifications</w:t>
            </w:r>
          </w:p>
        </w:tc>
        <w:tc>
          <w:tcPr>
            <w:tcW w:type="dxa" w:w="1701"/>
          </w:tcPr>
          <w:p>
            <w:r/>
            <w:r>
              <w:rPr>
                <w:sz w:val="17"/>
              </w:rPr>
              <w:t>Partial</w:t>
            </w:r>
          </w:p>
        </w:tc>
      </w:tr>
      <w:tr>
        <w:tc>
          <w:tcPr>
            <w:tcW w:type="dxa" w:w="2268"/>
          </w:tcPr>
          <w:p>
            <w:r/>
            <w:r>
              <w:rPr>
                <w:sz w:val="17"/>
              </w:rPr>
              <w:t>Right to access</w:t>
            </w:r>
          </w:p>
        </w:tc>
        <w:tc>
          <w:tcPr>
            <w:tcW w:type="dxa" w:w="1587"/>
          </w:tcPr>
          <w:p>
            <w:r/>
            <w:r>
              <w:rPr>
                <w:sz w:val="17"/>
              </w:rPr>
              <w:t>Sec. 16(c)</w:t>
            </w:r>
          </w:p>
        </w:tc>
        <w:tc>
          <w:tcPr>
            <w:tcW w:type="dxa" w:w="4082"/>
          </w:tcPr>
          <w:p>
            <w:r/>
            <w:r>
              <w:rPr>
                <w:sz w:val="17"/>
              </w:rPr>
              <w:t>View profile &amp; bookings; full data download</w:t>
            </w:r>
          </w:p>
        </w:tc>
        <w:tc>
          <w:tcPr>
            <w:tcW w:type="dxa" w:w="1701"/>
          </w:tcPr>
          <w:p>
            <w:r/>
            <w:r>
              <w:rPr>
                <w:sz w:val="17"/>
              </w:rPr>
              <w:t>Partial</w:t>
            </w:r>
          </w:p>
        </w:tc>
      </w:tr>
      <w:tr>
        <w:tc>
          <w:tcPr>
            <w:tcW w:type="dxa" w:w="2268"/>
          </w:tcPr>
          <w:p>
            <w:r/>
            <w:r>
              <w:rPr>
                <w:sz w:val="17"/>
              </w:rPr>
              <w:t>Right to object / withdraw consent</w:t>
            </w:r>
          </w:p>
        </w:tc>
        <w:tc>
          <w:tcPr>
            <w:tcW w:type="dxa" w:w="1587"/>
          </w:tcPr>
          <w:p>
            <w:r/>
            <w:r>
              <w:rPr>
                <w:sz w:val="17"/>
              </w:rPr>
              <w:t>Sec. 16(c); Sec. 12</w:t>
            </w:r>
          </w:p>
        </w:tc>
        <w:tc>
          <w:tcPr>
            <w:tcW w:type="dxa" w:w="4082"/>
          </w:tcPr>
          <w:p>
            <w:r/>
            <w:r>
              <w:rPr>
                <w:sz w:val="17"/>
              </w:rPr>
              <w:t>Withdraw marketing consent; objection request</w:t>
            </w:r>
          </w:p>
        </w:tc>
        <w:tc>
          <w:tcPr>
            <w:tcW w:type="dxa" w:w="1701"/>
          </w:tcPr>
          <w:p>
            <w:r/>
            <w:r>
              <w:rPr>
                <w:sz w:val="17"/>
              </w:rPr>
              <w:t>Missing</w:t>
            </w:r>
          </w:p>
        </w:tc>
      </w:tr>
      <w:tr>
        <w:tc>
          <w:tcPr>
            <w:tcW w:type="dxa" w:w="2268"/>
          </w:tcPr>
          <w:p>
            <w:r/>
            <w:r>
              <w:rPr>
                <w:sz w:val="17"/>
              </w:rPr>
              <w:t>Right to rectification</w:t>
            </w:r>
          </w:p>
        </w:tc>
        <w:tc>
          <w:tcPr>
            <w:tcW w:type="dxa" w:w="1587"/>
          </w:tcPr>
          <w:p>
            <w:r/>
            <w:r>
              <w:rPr>
                <w:sz w:val="17"/>
              </w:rPr>
              <w:t>Sec. 16(d)</w:t>
            </w:r>
          </w:p>
        </w:tc>
        <w:tc>
          <w:tcPr>
            <w:tcW w:type="dxa" w:w="4082"/>
          </w:tcPr>
          <w:p>
            <w:r/>
            <w:r>
              <w:rPr>
                <w:sz w:val="17"/>
              </w:rPr>
              <w:t>Profile edit; guest correction request</w:t>
            </w:r>
          </w:p>
        </w:tc>
        <w:tc>
          <w:tcPr>
            <w:tcW w:type="dxa" w:w="1701"/>
          </w:tcPr>
          <w:p>
            <w:r/>
            <w:r>
              <w:rPr>
                <w:sz w:val="17"/>
              </w:rPr>
              <w:t>Partial</w:t>
            </w:r>
          </w:p>
        </w:tc>
      </w:tr>
      <w:tr>
        <w:tc>
          <w:tcPr>
            <w:tcW w:type="dxa" w:w="2268"/>
          </w:tcPr>
          <w:p>
            <w:r/>
            <w:r>
              <w:rPr>
                <w:sz w:val="17"/>
              </w:rPr>
              <w:t>Right to erasure or blocking</w:t>
            </w:r>
          </w:p>
        </w:tc>
        <w:tc>
          <w:tcPr>
            <w:tcW w:type="dxa" w:w="1587"/>
          </w:tcPr>
          <w:p>
            <w:r/>
            <w:r>
              <w:rPr>
                <w:sz w:val="17"/>
              </w:rPr>
              <w:t>Sec. 16(e)</w:t>
            </w:r>
          </w:p>
        </w:tc>
        <w:tc>
          <w:tcPr>
            <w:tcW w:type="dxa" w:w="4082"/>
          </w:tcPr>
          <w:p>
            <w:r/>
            <w:r>
              <w:rPr>
                <w:sz w:val="17"/>
              </w:rPr>
              <w:t>Self-service account deletion with anonymization</w:t>
            </w:r>
          </w:p>
        </w:tc>
        <w:tc>
          <w:tcPr>
            <w:tcW w:type="dxa" w:w="1701"/>
          </w:tcPr>
          <w:p>
            <w:r/>
            <w:r>
              <w:rPr>
                <w:sz w:val="17"/>
              </w:rPr>
              <w:t>E-mail only</w:t>
            </w:r>
          </w:p>
        </w:tc>
      </w:tr>
      <w:tr>
        <w:tc>
          <w:tcPr>
            <w:tcW w:type="dxa" w:w="2268"/>
          </w:tcPr>
          <w:p>
            <w:r/>
            <w:r>
              <w:rPr>
                <w:sz w:val="17"/>
              </w:rPr>
              <w:t>Right to damages</w:t>
            </w:r>
          </w:p>
        </w:tc>
        <w:tc>
          <w:tcPr>
            <w:tcW w:type="dxa" w:w="1587"/>
          </w:tcPr>
          <w:p>
            <w:r/>
            <w:r>
              <w:rPr>
                <w:sz w:val="17"/>
              </w:rPr>
              <w:t>Sec. 16(f)</w:t>
            </w:r>
          </w:p>
        </w:tc>
        <w:tc>
          <w:tcPr>
            <w:tcW w:type="dxa" w:w="4082"/>
          </w:tcPr>
          <w:p>
            <w:r/>
            <w:r>
              <w:rPr>
                <w:sz w:val="17"/>
              </w:rPr>
              <w:t>Disclosed in Privacy Notice; complaint channel</w:t>
            </w:r>
          </w:p>
        </w:tc>
        <w:tc>
          <w:tcPr>
            <w:tcW w:type="dxa" w:w="1701"/>
          </w:tcPr>
          <w:p>
            <w:r/>
            <w:r>
              <w:rPr>
                <w:sz w:val="17"/>
              </w:rPr>
              <w:t>Missing</w:t>
            </w:r>
          </w:p>
        </w:tc>
      </w:tr>
      <w:tr>
        <w:tc>
          <w:tcPr>
            <w:tcW w:type="dxa" w:w="2268"/>
          </w:tcPr>
          <w:p>
            <w:r/>
            <w:r>
              <w:rPr>
                <w:sz w:val="17"/>
              </w:rPr>
              <w:t>Right to file a complaint</w:t>
            </w:r>
          </w:p>
        </w:tc>
        <w:tc>
          <w:tcPr>
            <w:tcW w:type="dxa" w:w="1587"/>
          </w:tcPr>
          <w:p>
            <w:r/>
            <w:r>
              <w:rPr>
                <w:sz w:val="17"/>
              </w:rPr>
              <w:t>Sec. 16; NPC rules</w:t>
            </w:r>
          </w:p>
        </w:tc>
        <w:tc>
          <w:tcPr>
            <w:tcW w:type="dxa" w:w="4082"/>
          </w:tcPr>
          <w:p>
            <w:r/>
            <w:r>
              <w:rPr>
                <w:sz w:val="17"/>
              </w:rPr>
              <w:t>NPC complaint information in Privacy Notice</w:t>
            </w:r>
          </w:p>
        </w:tc>
        <w:tc>
          <w:tcPr>
            <w:tcW w:type="dxa" w:w="1701"/>
          </w:tcPr>
          <w:p>
            <w:r/>
            <w:r>
              <w:rPr>
                <w:sz w:val="17"/>
              </w:rPr>
              <w:t>Missing</w:t>
            </w:r>
          </w:p>
        </w:tc>
      </w:tr>
      <w:tr>
        <w:tc>
          <w:tcPr>
            <w:tcW w:type="dxa" w:w="2268"/>
          </w:tcPr>
          <w:p>
            <w:r/>
            <w:r>
              <w:rPr>
                <w:sz w:val="17"/>
              </w:rPr>
              <w:t>Transmissibility of rights</w:t>
            </w:r>
          </w:p>
        </w:tc>
        <w:tc>
          <w:tcPr>
            <w:tcW w:type="dxa" w:w="1587"/>
          </w:tcPr>
          <w:p>
            <w:r/>
            <w:r>
              <w:rPr>
                <w:sz w:val="17"/>
              </w:rPr>
              <w:t>Sec. 17</w:t>
            </w:r>
          </w:p>
        </w:tc>
        <w:tc>
          <w:tcPr>
            <w:tcW w:type="dxa" w:w="4082"/>
          </w:tcPr>
          <w:p>
            <w:r/>
            <w:r>
              <w:rPr>
                <w:sz w:val="17"/>
              </w:rPr>
              <w:t>Request process accepting verified heirs</w:t>
            </w:r>
          </w:p>
        </w:tc>
        <w:tc>
          <w:tcPr>
            <w:tcW w:type="dxa" w:w="1701"/>
          </w:tcPr>
          <w:p>
            <w:r/>
            <w:r>
              <w:rPr>
                <w:sz w:val="17"/>
              </w:rPr>
              <w:t>Missing</w:t>
            </w:r>
          </w:p>
        </w:tc>
      </w:tr>
      <w:tr>
        <w:tc>
          <w:tcPr>
            <w:tcW w:type="dxa" w:w="2268"/>
          </w:tcPr>
          <w:p>
            <w:r/>
            <w:r>
              <w:rPr>
                <w:sz w:val="17"/>
              </w:rPr>
              <w:t>Right to data portability</w:t>
            </w:r>
          </w:p>
        </w:tc>
        <w:tc>
          <w:tcPr>
            <w:tcW w:type="dxa" w:w="1587"/>
          </w:tcPr>
          <w:p>
            <w:r/>
            <w:r>
              <w:rPr>
                <w:sz w:val="17"/>
              </w:rPr>
              <w:t>Sec. 18</w:t>
            </w:r>
          </w:p>
        </w:tc>
        <w:tc>
          <w:tcPr>
            <w:tcW w:type="dxa" w:w="4082"/>
          </w:tcPr>
          <w:p>
            <w:r/>
            <w:r>
              <w:rPr>
                <w:sz w:val="17"/>
              </w:rPr>
              <w:t>'Download my data' in JSON/CSV</w:t>
            </w:r>
          </w:p>
        </w:tc>
        <w:tc>
          <w:tcPr>
            <w:tcW w:type="dxa" w:w="1701"/>
          </w:tcPr>
          <w:p>
            <w:r/>
            <w:r>
              <w:rPr>
                <w:sz w:val="17"/>
              </w:rPr>
              <w:t>Missing</w:t>
            </w:r>
          </w:p>
        </w:tc>
      </w:tr>
    </w:tbl>
    <w:p>
      <w:pPr>
        <w:spacing w:after="40"/>
      </w:pPr>
    </w:p>
    <w:p>
      <w:pPr>
        <w:pStyle w:val="Heading1"/>
      </w:pPr>
      <w:r>
        <w:t>Annex C – Review and Approval</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118"/>
            <w:shd w:val="clear" w:color="auto" w:fill="0F172A"/>
          </w:tcPr>
          <w:p>
            <w:r/>
            <w:r>
              <w:rPr>
                <w:b/>
                <w:color w:val="FFFFFF"/>
                <w:sz w:val="18"/>
              </w:rPr>
              <w:t>Role</w:t>
            </w:r>
          </w:p>
        </w:tc>
        <w:tc>
          <w:tcPr>
            <w:tcW w:type="dxa" w:w="2551"/>
            <w:shd w:val="clear" w:color="auto" w:fill="0F172A"/>
          </w:tcPr>
          <w:p>
            <w:r/>
            <w:r>
              <w:rPr>
                <w:b/>
                <w:color w:val="FFFFFF"/>
                <w:sz w:val="18"/>
              </w:rPr>
              <w:t>Name</w:t>
            </w:r>
          </w:p>
        </w:tc>
        <w:tc>
          <w:tcPr>
            <w:tcW w:type="dxa" w:w="2268"/>
            <w:shd w:val="clear" w:color="auto" w:fill="0F172A"/>
          </w:tcPr>
          <w:p>
            <w:r/>
            <w:r>
              <w:rPr>
                <w:b/>
                <w:color w:val="FFFFFF"/>
                <w:sz w:val="18"/>
              </w:rPr>
              <w:t>Signature</w:t>
            </w:r>
          </w:p>
        </w:tc>
        <w:tc>
          <w:tcPr>
            <w:tcW w:type="dxa" w:w="1701"/>
            <w:shd w:val="clear" w:color="auto" w:fill="0F172A"/>
          </w:tcPr>
          <w:p>
            <w:r/>
            <w:r>
              <w:rPr>
                <w:b/>
                <w:color w:val="FFFFFF"/>
                <w:sz w:val="18"/>
              </w:rPr>
              <w:t>Date</w:t>
            </w:r>
          </w:p>
        </w:tc>
      </w:tr>
      <w:tr>
        <w:tc>
          <w:tcPr>
            <w:tcW w:type="dxa" w:w="3118"/>
          </w:tcPr>
          <w:p>
            <w:r/>
            <w:r>
              <w:rPr>
                <w:sz w:val="18"/>
              </w:rPr>
              <w:t>Court Owner / Head of Organization</w:t>
            </w:r>
          </w:p>
        </w:tc>
        <w:tc>
          <w:tcPr>
            <w:tcW w:type="dxa" w:w="2551"/>
          </w:tcPr>
          <w:p>
            <w:r/>
            <w:r>
              <w:rPr>
                <w:sz w:val="18"/>
              </w:rPr>
            </w:r>
          </w:p>
        </w:tc>
        <w:tc>
          <w:tcPr>
            <w:tcW w:type="dxa" w:w="2268"/>
          </w:tcPr>
          <w:p>
            <w:r/>
            <w:r>
              <w:rPr>
                <w:sz w:val="18"/>
              </w:rPr>
            </w:r>
          </w:p>
        </w:tc>
        <w:tc>
          <w:tcPr>
            <w:tcW w:type="dxa" w:w="1701"/>
          </w:tcPr>
          <w:p>
            <w:r/>
            <w:r>
              <w:rPr>
                <w:sz w:val="18"/>
              </w:rPr>
            </w:r>
          </w:p>
        </w:tc>
      </w:tr>
      <w:tr>
        <w:tc>
          <w:tcPr>
            <w:tcW w:type="dxa" w:w="3118"/>
          </w:tcPr>
          <w:p>
            <w:r/>
            <w:r>
              <w:rPr>
                <w:sz w:val="18"/>
              </w:rPr>
              <w:t>Data Protection Officer</w:t>
            </w:r>
          </w:p>
        </w:tc>
        <w:tc>
          <w:tcPr>
            <w:tcW w:type="dxa" w:w="2551"/>
          </w:tcPr>
          <w:p>
            <w:r/>
            <w:r>
              <w:rPr>
                <w:sz w:val="18"/>
              </w:rPr>
            </w:r>
          </w:p>
        </w:tc>
        <w:tc>
          <w:tcPr>
            <w:tcW w:type="dxa" w:w="2268"/>
          </w:tcPr>
          <w:p>
            <w:r/>
            <w:r>
              <w:rPr>
                <w:sz w:val="18"/>
              </w:rPr>
            </w:r>
          </w:p>
        </w:tc>
        <w:tc>
          <w:tcPr>
            <w:tcW w:type="dxa" w:w="1701"/>
          </w:tcPr>
          <w:p>
            <w:r/>
            <w:r>
              <w:rPr>
                <w:sz w:val="18"/>
              </w:rPr>
            </w:r>
          </w:p>
        </w:tc>
      </w:tr>
      <w:tr>
        <w:tc>
          <w:tcPr>
            <w:tcW w:type="dxa" w:w="3118"/>
          </w:tcPr>
          <w:p>
            <w:r/>
            <w:r>
              <w:rPr>
                <w:sz w:val="18"/>
              </w:rPr>
              <w:t>System Developer</w:t>
            </w:r>
          </w:p>
        </w:tc>
        <w:tc>
          <w:tcPr>
            <w:tcW w:type="dxa" w:w="2551"/>
          </w:tcPr>
          <w:p>
            <w:r/>
            <w:r>
              <w:rPr>
                <w:sz w:val="18"/>
              </w:rPr>
            </w:r>
          </w:p>
        </w:tc>
        <w:tc>
          <w:tcPr>
            <w:tcW w:type="dxa" w:w="2268"/>
          </w:tcPr>
          <w:p>
            <w:r/>
            <w:r>
              <w:rPr>
                <w:sz w:val="18"/>
              </w:rPr>
            </w:r>
          </w:p>
        </w:tc>
        <w:tc>
          <w:tcPr>
            <w:tcW w:type="dxa" w:w="1701"/>
          </w:tcPr>
          <w:p>
            <w:r/>
            <w:r>
              <w:rPr>
                <w:sz w:val="18"/>
              </w:rPr>
            </w:r>
          </w:p>
        </w:tc>
      </w:tr>
    </w:tbl>
    <w:p>
      <w:pPr>
        <w:spacing w:after="40"/>
      </w:pP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Paddle Field Sports Center – RA 10173 Compliance Gap Analysis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891B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891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