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80"/>
      </w:pPr>
      <w:r>
        <w:t xml:space="preserve"/>
      </w:r>
    </w:p>
    <w:p>
      <w:pPr>
        <w:spacing w:before="0" w:after="200"/>
        <w:jc w:val="center"/>
      </w:pPr>
      <w:r>
        <w:rPr>
          <w:rFonts w:ascii="Arial" w:cs="Arial" w:eastAsia="Arial" w:hAnsi="Arial"/>
          <w:b/>
          <w:bCs/>
          <w:color w:val="1F3864"/>
          <w:sz w:val="36"/>
          <w:szCs w:val="36"/>
        </w:rPr>
        <w:t xml:space="preserve">ST3189: Machine Learning</w:t>
      </w:r>
    </w:p>
    <w:p>
      <w:pPr>
        <w:spacing w:before="0" w:after="200"/>
        <w:jc w:val="center"/>
      </w:pPr>
      <w:r>
        <w:rPr>
          <w:rFonts w:ascii="Arial" w:cs="Arial" w:eastAsia="Arial" w:hAnsi="Arial"/>
          <w:color w:val="2E5FA3"/>
          <w:sz w:val="30"/>
          <w:szCs w:val="30"/>
        </w:rPr>
        <w:t xml:space="preserve">Assessed Coursework Project</w:t>
      </w:r>
    </w:p>
    <w:p>
      <w:pPr>
        <w:spacing w:before="0" w:after="240"/>
      </w:pPr>
      <w:r>
        <w:t xml:space="preserve"/>
      </w:r>
    </w:p>
    <w:p>
      <w:pPr>
        <w:spacing w:before="0" w:after="120"/>
        <w:jc w:val="center"/>
      </w:pPr>
      <w:r>
        <w:rPr>
          <w:rFonts w:ascii="Arial" w:cs="Arial" w:eastAsia="Arial" w:hAnsi="Arial"/>
          <w:i/>
          <w:iCs/>
          <w:color w:val="555555"/>
          <w:sz w:val="24"/>
          <w:szCs w:val="24"/>
        </w:rPr>
        <w:t xml:space="preserve">Candidate Number: [YOUR CANDIDATE NUMBER]</w:t>
      </w:r>
    </w:p>
    <w:p>
      <w:pPr>
        <w:spacing w:before="0" w:after="120"/>
        <w:jc w:val="center"/>
      </w:pPr>
      <w:r>
        <w:rPr>
          <w:rFonts w:ascii="Arial" w:cs="Arial" w:eastAsia="Arial" w:hAnsi="Arial"/>
          <w:color w:val="555555"/>
          <w:sz w:val="22"/>
          <w:szCs w:val="22"/>
        </w:rPr>
        <w:t xml:space="preserve">Academic Year 2024–2025</w:t>
      </w:r>
    </w:p>
    <w:p>
      <w:r>
        <w:br w:type="page"/>
      </w:r>
    </w:p>
    <w:p>
      <w:pPr>
        <w:pStyle w:val="Heading1"/>
      </w:pPr>
      <w:r>
        <w:rPr>
          <w:rFonts w:ascii="Arial" w:cs="Arial" w:eastAsia="Arial" w:hAnsi="Arial"/>
          <w:b/>
          <w:bCs/>
          <w:sz w:val="28"/>
          <w:szCs w:val="28"/>
        </w:rPr>
        <w:t xml:space="preserve">1. Unsupervised Learning</w:t>
      </w:r>
    </w:p>
    <w:p>
      <w:pPr>
        <w:pStyle w:val="Heading2"/>
      </w:pPr>
      <w:r>
        <w:rPr>
          <w:rFonts w:ascii="Arial" w:cs="Arial" w:eastAsia="Arial" w:hAnsi="Arial"/>
          <w:b/>
          <w:bCs/>
          <w:sz w:val="24"/>
          <w:szCs w:val="24"/>
        </w:rPr>
        <w:t xml:space="preserve">1.1 Dataset and Problem Statement</w:t>
      </w:r>
    </w:p>
    <w:p>
      <w:pPr>
        <w:spacing w:before="80" w:after="80" w:line="276"/>
        <w:jc w:val="both"/>
      </w:pPr>
      <w:r>
        <w:rPr>
          <w:rFonts w:ascii="Arial" w:cs="Arial" w:eastAsia="Arial" w:hAnsi="Arial"/>
          <w:sz w:val="22"/>
          <w:szCs w:val="22"/>
        </w:rPr>
        <w:t xml:space="preserve">The dataset used for this section is the FIFA Player Performance and Market Value dataset, containing 2,800 professional football player records with 16 attributes capturing performance metrics, player characteristics, and market valuations. The data includes information such as player age, overall and potential ratings, in-game statistics (goals, assists, minutes played), and contractual attributes.</w:t>
      </w:r>
    </w:p>
    <w:p>
      <w:pPr>
        <w:spacing w:before="80" w:after="80" w:line="276"/>
        <w:jc w:val="both"/>
      </w:pPr>
      <w:r>
        <w:rPr>
          <w:rFonts w:ascii="Arial" w:cs="Arial" w:eastAsia="Arial" w:hAnsi="Arial"/>
          <w:sz w:val="22"/>
          <w:szCs w:val="22"/>
        </w:rPr>
        <w:t xml:space="preserve">The central question motivating this unsupervised analysis is: Can we identify natural, data-driven groupings of football players based on their performance characteristics and market profiles, without relying on pre-defined labels such as position or club? This is a meaningful question in sports analytics because talent scouting and squad planning require objective frameworks for comparing players across leagues, positions, and age brackets.</w:t>
      </w:r>
    </w:p>
    <w:p>
      <w:pPr>
        <w:spacing w:before="80" w:after="80" w:line="276"/>
        <w:jc w:val="both"/>
      </w:pPr>
      <w:r>
        <w:rPr>
          <w:rFonts w:ascii="Arial" w:cs="Arial" w:eastAsia="Arial" w:hAnsi="Arial"/>
          <w:sz w:val="22"/>
          <w:szCs w:val="22"/>
        </w:rPr>
        <w:t xml:space="preserve">Traditional approaches to player categorisation rely on subjective expert judgement or broad positional labels (e.g., striker, midfielder). However, these labels do not capture the full complexity of a player's profile. Unsupervised learning, and K-means and hierarchical clustering in particular, offer a principled approach to discovering latent groupings based on multi-dimensional performance data, enabling more granular profiling of player archetypes.</w:t>
      </w:r>
    </w:p>
    <w:p>
      <w:pPr>
        <w:spacing w:before="0" w:after="120"/>
      </w:pPr>
      <w:r>
        <w:t xml:space="preserve"/>
      </w:r>
    </w:p>
    <w:p>
      <w:pPr>
        <w:pStyle w:val="Heading2"/>
      </w:pPr>
      <w:r>
        <w:rPr>
          <w:rFonts w:ascii="Arial" w:cs="Arial" w:eastAsia="Arial" w:hAnsi="Arial"/>
          <w:b/>
          <w:bCs/>
          <w:sz w:val="24"/>
          <w:szCs w:val="24"/>
        </w:rPr>
        <w:t xml:space="preserve">1.2 Features</w:t>
      </w:r>
    </w:p>
    <w:p>
      <w:pPr>
        <w:spacing w:before="80" w:after="80" w:line="276"/>
        <w:jc w:val="both"/>
      </w:pPr>
      <w:r>
        <w:rPr>
          <w:rFonts w:ascii="Arial" w:cs="Arial" w:eastAsia="Arial" w:hAnsi="Arial"/>
          <w:sz w:val="22"/>
          <w:szCs w:val="22"/>
        </w:rPr>
        <w:t xml:space="preserve">For the clustering analysis, numeric performance-related and profile-related features are selected. Identifier columns (player_id, player_name) and categorical variables (nationality, club, position, injury_prone, transfer_risk_level) are excluded from the feature space, as clustering requires numeric inputs and these variables introduce nominal noise. The retained features are standardised using z-score normalisation prior to clustering, ensuring that variables measured on different scales contribute equally to the distance computations.</w:t>
      </w:r>
    </w:p>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2"/>
                <w:szCs w:val="22"/>
              </w:rPr>
              <w:t xml:space="preserve">Feature</w:t>
            </w:r>
          </w:p>
        </w:tc>
        <w:tc>
          <w:tcPr>
            <w:tcW w:type="dxa" w:w="6026"/>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age</w:t>
            </w:r>
          </w:p>
        </w:tc>
        <w:tc>
          <w:tcPr>
            <w:tcW w:type="dxa" w:w="6026"/>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Player's age in years; proxy for career stage and experience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overall_rating</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FIFA overall performance rating (0–100); composite skill score</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potential_rating</w:t>
            </w:r>
          </w:p>
        </w:tc>
        <w:tc>
          <w:tcPr>
            <w:tcW w:type="dxa" w:w="6026"/>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Projected peak rating; indicates developmental ceiling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matches_played</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matches played; measures playing time and consistency</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goals</w:t>
            </w:r>
          </w:p>
        </w:tc>
        <w:tc>
          <w:tcPr>
            <w:tcW w:type="dxa" w:w="6026"/>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Total goals scored; offensive output metric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assists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assists registered; measures creative contribution</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minutes_played</w:t>
            </w:r>
          </w:p>
        </w:tc>
        <w:tc>
          <w:tcPr>
            <w:tcW w:type="dxa" w:w="6026"/>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Total minutes on the pitch; captures playing regularity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market_value_million_eur</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Estimated transfer value in millions of euros; economic standing</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contract_years_left</w:t>
            </w:r>
          </w:p>
        </w:tc>
        <w:tc>
          <w:tcPr>
            <w:tcW w:type="dxa" w:w="6026"/>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Remaining years on current contract; affects transfer dynamics</w:t>
            </w:r>
          </w:p>
        </w:tc>
      </w:tr>
    </w:tbl>
    <w:p>
      <w:pPr>
        <w:spacing w:before="0" w:after="120"/>
      </w:pPr>
      <w:r>
        <w:t xml:space="preserve"/>
      </w:r>
    </w:p>
    <w:p>
      <w:pPr>
        <w:pStyle w:val="Heading2"/>
      </w:pPr>
      <w:r>
        <w:rPr>
          <w:rFonts w:ascii="Arial" w:cs="Arial" w:eastAsia="Arial" w:hAnsi="Arial"/>
          <w:b/>
          <w:bCs/>
          <w:sz w:val="24"/>
          <w:szCs w:val="24"/>
        </w:rPr>
        <w:t xml:space="preserve">1.3 Methodology</w:t>
      </w:r>
    </w:p>
    <w:p>
      <w:pPr>
        <w:spacing w:before="80" w:after="80" w:line="276"/>
        <w:jc w:val="both"/>
      </w:pPr>
      <w:r>
        <w:rPr>
          <w:rFonts w:ascii="Arial" w:cs="Arial" w:eastAsia="Arial" w:hAnsi="Arial"/>
          <w:sz w:val="22"/>
          <w:szCs w:val="22"/>
        </w:rPr>
        <w:t xml:space="preserve">The analysis follows a systematic pipeline. First, all selected numeric features are standardised to have zero mean and unit variance using z-score normalisation. This step is essential because clustering algorithms such as K-means rely on Euclidean distance, which is sensitive to differences in feature scale. For instance, market_value_million_eur is measured in hundreds, while goals may only reach single digits; without standardisation, the former would dominate cluster formation.</w:t>
      </w:r>
    </w:p>
    <w:p>
      <w:pPr>
        <w:spacing w:before="80" w:after="80" w:line="276"/>
        <w:jc w:val="both"/>
      </w:pPr>
      <w:r>
        <w:rPr>
          <w:rFonts w:ascii="Arial" w:cs="Arial" w:eastAsia="Arial" w:hAnsi="Arial"/>
          <w:sz w:val="22"/>
          <w:szCs w:val="22"/>
        </w:rPr>
        <w:t xml:space="preserve">Second, the optimal number of clusters is determined using the Elbow Method, which plots the total within-cluster sum of squares (WSS) against the number of clusters k. The point at which the rate of decrease sharply diminishes — the 'elbow' — provides a heuristic for the best k. This is complemented by the Silhouette Score, which measures how similar an observation is to its own cluster compared to other clusters; higher values indicate more compact, well-separated clusters.</w:t>
      </w:r>
    </w:p>
    <w:p>
      <w:pPr>
        <w:spacing w:before="80" w:after="80" w:line="276"/>
        <w:jc w:val="both"/>
      </w:pPr>
      <w:r>
        <w:rPr>
          <w:rFonts w:ascii="Arial" w:cs="Arial" w:eastAsia="Arial" w:hAnsi="Arial"/>
          <w:sz w:val="22"/>
          <w:szCs w:val="22"/>
        </w:rPr>
        <w:t xml:space="preserve">Third, K-means clustering is applied with the chosen k, using 25 random initialisations to mitigate sensitivity to initialisation. Fourth, Agglomerative Hierarchical Clustering is applied using Ward's linkage criterion, which minimises the total within-cluster variance at each merge step. A dendrogram is used to visually inspect cluster structure and validate the choice of k. Ward's method is preferred here over single or complete linkage as it tends to produce more balanced, homogeneous clusters suited to player profiling.</w:t>
      </w:r>
    </w:p>
    <w:p>
      <w:pPr>
        <w:spacing w:before="0" w:after="120"/>
      </w:pPr>
      <w:r>
        <w:t xml:space="preserve"/>
      </w:r>
    </w:p>
    <w:p>
      <w:pPr>
        <w:pStyle w:val="Heading2"/>
      </w:pPr>
      <w:r>
        <w:rPr>
          <w:rFonts w:ascii="Arial" w:cs="Arial" w:eastAsia="Arial" w:hAnsi="Arial"/>
          <w:b/>
          <w:bCs/>
          <w:sz w:val="24"/>
          <w:szCs w:val="24"/>
        </w:rPr>
        <w:t xml:space="preserve">1.4 Clustering Analysis: Elbow Method and K-means Algorithm</w:t>
      </w:r>
    </w:p>
    <w:p>
      <w:pPr>
        <w:spacing w:before="80" w:after="80" w:line="276"/>
        <w:jc w:val="both"/>
      </w:pPr>
      <w:r>
        <w:rPr>
          <w:rFonts w:ascii="Arial" w:cs="Arial" w:eastAsia="Arial" w:hAnsi="Arial"/>
          <w:sz w:val="22"/>
          <w:szCs w:val="22"/>
        </w:rPr>
        <w:t xml:space="preserve">The Elbow Method is applied by computing the total WSS for k ranging from 1 to 10. A pronounced elbow is expected at k = 4 or k = 5, reflecting four to five meaningful player archetypes. These are anticipated to correspond broadly to: (i) elite high-value veterans with high overall ratings; (ii) young high-potential prospects with lower current ratings but strong developmental outlook; (iii) solid mid-tier contributors with consistent playing time; and (iv) squad-depth players with modest statistics across the board.</w:t>
      </w:r>
    </w:p>
    <w:p>
      <w:pPr>
        <w:spacing w:before="80" w:after="80" w:line="276"/>
        <w:jc w:val="both"/>
      </w:pPr>
      <w:r>
        <w:rPr>
          <w:rFonts w:ascii="Arial" w:cs="Arial" w:eastAsia="Arial" w:hAnsi="Arial"/>
          <w:sz w:val="22"/>
          <w:szCs w:val="22"/>
        </w:rPr>
        <w:t xml:space="preserve">K-means is then run with the selected k using the Hartigan-Wong algorithm (or Lloyd's algorithm in Python's scikit-learn). Each player is assigned to the cluster whose centroid is nearest in Euclidean space. The resulting cluster centroids are examined and interpreted in terms of the original feature space to assign descriptive labels to each archetype.</w:t>
      </w:r>
    </w:p>
    <w:p>
      <w:pPr>
        <w:spacing w:before="80" w:after="80" w:line="276"/>
        <w:jc w:val="both"/>
      </w:pPr>
      <w:r>
        <w:rPr>
          <w:rFonts w:ascii="Arial" w:cs="Arial" w:eastAsia="Arial" w:hAnsi="Arial"/>
          <w:sz w:val="22"/>
          <w:szCs w:val="22"/>
        </w:rPr>
        <w:t xml:space="preserve">To visualise the high-dimensional clustering result, Principal Component Analysis (PCA) is used to reduce the feature space to two dimensions for a 2D scatter plot of cluster assignments. This visualisation aids in assessing the degree of cluster separation and communicating results to a non-technical audience.</w:t>
      </w:r>
    </w:p>
    <w:p>
      <w:pPr>
        <w:spacing w:before="120" w:after="120"/>
      </w:pPr>
      <w:r>
        <w:rPr>
          <w:rFonts w:ascii="Arial" w:cs="Arial" w:eastAsia="Arial" w:hAnsi="Arial"/>
          <w:i/>
          <w:iCs/>
          <w:color w:val="777777"/>
          <w:sz w:val="20"/>
          <w:szCs w:val="20"/>
        </w:rPr>
        <w:t xml:space="preserve">[Figure 1: Elbow plot (WSS vs. k) — to be generated in R/Python]</w:t>
      </w:r>
    </w:p>
    <w:p>
      <w:pPr>
        <w:spacing w:before="60" w:after="120"/>
      </w:pPr>
      <w:r>
        <w:rPr>
          <w:rFonts w:ascii="Arial" w:cs="Arial" w:eastAsia="Arial" w:hAnsi="Arial"/>
          <w:i/>
          <w:iCs/>
          <w:color w:val="777777"/>
          <w:sz w:val="20"/>
          <w:szCs w:val="20"/>
        </w:rPr>
        <w:t xml:space="preserve">[Figure 2: PCA scatter plot of K-means cluster assignments]</w:t>
      </w:r>
    </w:p>
    <w:p>
      <w:pPr>
        <w:spacing w:before="0" w:after="120"/>
      </w:pPr>
      <w:r>
        <w:t xml:space="preserve"/>
      </w:r>
    </w:p>
    <w:p>
      <w:pPr>
        <w:pStyle w:val="Heading2"/>
      </w:pPr>
      <w:r>
        <w:rPr>
          <w:rFonts w:ascii="Arial" w:cs="Arial" w:eastAsia="Arial" w:hAnsi="Arial"/>
          <w:b/>
          <w:bCs/>
          <w:sz w:val="24"/>
          <w:szCs w:val="24"/>
        </w:rPr>
        <w:t xml:space="preserve">1.5 Clustering Analysis: Hierarchical Clustering</w:t>
      </w:r>
    </w:p>
    <w:p>
      <w:pPr>
        <w:spacing w:before="80" w:after="80" w:line="276"/>
        <w:jc w:val="both"/>
      </w:pPr>
      <w:r>
        <w:rPr>
          <w:rFonts w:ascii="Arial" w:cs="Arial" w:eastAsia="Arial" w:hAnsi="Arial"/>
          <w:sz w:val="22"/>
          <w:szCs w:val="22"/>
        </w:rPr>
        <w:t xml:space="preserve">Agglomerative hierarchical clustering is applied as a complementary approach to validate the cluster structure identified by K-means. Unlike K-means, hierarchical clustering does not require a pre-specified number of clusters and produces a dendrogram — a tree-like diagram — that reveals the nested structure of groupings across all levels of granularity.</w:t>
      </w:r>
    </w:p>
    <w:p>
      <w:pPr>
        <w:spacing w:before="80" w:after="80" w:line="276"/>
        <w:jc w:val="both"/>
      </w:pPr>
      <w:r>
        <w:rPr>
          <w:rFonts w:ascii="Arial" w:cs="Arial" w:eastAsia="Arial" w:hAnsi="Arial"/>
          <w:sz w:val="22"/>
          <w:szCs w:val="22"/>
        </w:rPr>
        <w:t xml:space="preserve">Ward's linkage is used as the merging criterion. At each step, the pair of clusters that minimises the increase in total within-cluster variance is merged. This produces compact, roughly equal-sized clusters that are well-suited to player profiling. The dendrogram is cut at the height corresponding to k clusters (as identified in Section 1.4) to derive cluster assignments comparable to those of K-means.</w:t>
      </w:r>
    </w:p>
    <w:p>
      <w:pPr>
        <w:spacing w:before="80" w:after="80" w:line="276"/>
        <w:jc w:val="both"/>
      </w:pPr>
      <w:r>
        <w:rPr>
          <w:rFonts w:ascii="Arial" w:cs="Arial" w:eastAsia="Arial" w:hAnsi="Arial"/>
          <w:sz w:val="22"/>
          <w:szCs w:val="22"/>
        </w:rPr>
        <w:t xml:space="preserve">The agreement between K-means and hierarchical cluster assignments is assessed using the Adjusted Rand Index (ARI), which measures the similarity between two clusterings while correcting for chance. A high ARI (close to 1) would confirm that both methods identify the same underlying player archetypes, strengthening confidence in the discovered structure.</w:t>
      </w:r>
    </w:p>
    <w:p>
      <w:pPr>
        <w:spacing w:before="120" w:after="120"/>
      </w:pPr>
      <w:r>
        <w:rPr>
          <w:rFonts w:ascii="Arial" w:cs="Arial" w:eastAsia="Arial" w:hAnsi="Arial"/>
          <w:i/>
          <w:iCs/>
          <w:color w:val="777777"/>
          <w:sz w:val="20"/>
          <w:szCs w:val="20"/>
        </w:rPr>
        <w:t xml:space="preserve">[Figure 3: Dendrogram from hierarchical clustering — to be generated in R/Python]</w:t>
      </w:r>
    </w:p>
    <w:p>
      <w:pPr>
        <w:spacing w:before="0" w:after="120"/>
      </w:pPr>
      <w:r>
        <w:t xml:space="preserve"/>
      </w:r>
    </w:p>
    <w:p>
      <w:pPr>
        <w:pStyle w:val="Heading2"/>
      </w:pPr>
      <w:r>
        <w:rPr>
          <w:rFonts w:ascii="Arial" w:cs="Arial" w:eastAsia="Arial" w:hAnsi="Arial"/>
          <w:b/>
          <w:bCs/>
          <w:sz w:val="24"/>
          <w:szCs w:val="24"/>
        </w:rPr>
        <w:t xml:space="preserve">1.6 Conclusion and Future Work</w:t>
      </w:r>
    </w:p>
    <w:p>
      <w:pPr>
        <w:spacing w:before="80" w:after="80" w:line="276"/>
        <w:jc w:val="both"/>
      </w:pPr>
      <w:r>
        <w:rPr>
          <w:rFonts w:ascii="Arial" w:cs="Arial" w:eastAsia="Arial" w:hAnsi="Arial"/>
          <w:sz w:val="22"/>
          <w:szCs w:val="22"/>
        </w:rPr>
        <w:t xml:space="preserve">This unsupervised learning analysis aims to reveal data-driven player archetypes in professional football, providing an objective framework for talent evaluation that transcends traditional positional categories. By applying both K-means and hierarchical clustering and cross-validating their results, the analysis is designed to yield robust and interpretable player groupings.</w:t>
      </w:r>
    </w:p>
    <w:p>
      <w:pPr>
        <w:spacing w:before="80" w:after="80" w:line="276"/>
        <w:jc w:val="both"/>
      </w:pPr>
      <w:r>
        <w:rPr>
          <w:rFonts w:ascii="Arial" w:cs="Arial" w:eastAsia="Arial" w:hAnsi="Arial"/>
          <w:sz w:val="22"/>
          <w:szCs w:val="22"/>
        </w:rPr>
        <w:t xml:space="preserve">The identified clusters are expected to have practical implications for club recruitment strategy: clubs can use cluster membership to identify undervalued players in lower-performing clusters whose profile metrics resemble those of higher-value archetypes. Discrepancies between cluster assignment and market_value_million_eur may reveal mispriced talent.</w:t>
      </w:r>
    </w:p>
    <w:p>
      <w:pPr>
        <w:spacing w:before="80" w:after="80" w:line="276"/>
        <w:jc w:val="both"/>
      </w:pPr>
      <w:r>
        <w:rPr>
          <w:rFonts w:ascii="Arial" w:cs="Arial" w:eastAsia="Arial" w:hAnsi="Arial"/>
          <w:sz w:val="22"/>
          <w:szCs w:val="22"/>
        </w:rPr>
        <w:t xml:space="preserve">Future work could extend this analysis by incorporating additional features such as passing accuracy, defensive statistics, and physical metrics. Dimensionality reduction via t-SNE or UMAP could also be explored for richer visualisations. Furthermore, integrating external data sources — such as league-level difficulty adjustments — would increase the contextual validity of the cluster profiles.</w:t>
      </w:r>
    </w:p>
    <w:p>
      <w:r>
        <w:br w:type="page"/>
      </w:r>
    </w:p>
    <w:p>
      <w:pPr>
        <w:pStyle w:val="Heading1"/>
      </w:pPr>
      <w:r>
        <w:rPr>
          <w:rFonts w:ascii="Arial" w:cs="Arial" w:eastAsia="Arial" w:hAnsi="Arial"/>
          <w:b/>
          <w:bCs/>
          <w:sz w:val="28"/>
          <w:szCs w:val="28"/>
        </w:rPr>
        <w:t xml:space="preserve">2. Regression</w:t>
      </w:r>
    </w:p>
    <w:p>
      <w:pPr>
        <w:pStyle w:val="Heading2"/>
      </w:pPr>
      <w:r>
        <w:rPr>
          <w:rFonts w:ascii="Arial" w:cs="Arial" w:eastAsia="Arial" w:hAnsi="Arial"/>
          <w:b/>
          <w:bCs/>
          <w:sz w:val="24"/>
          <w:szCs w:val="24"/>
        </w:rPr>
        <w:t xml:space="preserve">2.1 Dataset and Problem Statement</w:t>
      </w:r>
    </w:p>
    <w:p>
      <w:pPr>
        <w:spacing w:before="80" w:after="80" w:line="276"/>
        <w:jc w:val="both"/>
      </w:pPr>
      <w:r>
        <w:rPr>
          <w:rFonts w:ascii="Arial" w:cs="Arial" w:eastAsia="Arial" w:hAnsi="Arial"/>
          <w:sz w:val="22"/>
          <w:szCs w:val="22"/>
        </w:rPr>
        <w:t xml:space="preserve">The regression task utilises the same FIFA Player Performance and Market Value dataset. The target variable is market_value_million_eur — the estimated transfer market value of a player in millions of euros. Accurately predicting player market value is of considerable practical importance for football clubs, agents, and financial analysts, as transfer fees represent one of the largest single expenditures in professional sport.</w:t>
      </w:r>
    </w:p>
    <w:p>
      <w:pPr>
        <w:spacing w:before="80" w:after="80" w:line="276"/>
        <w:jc w:val="both"/>
      </w:pPr>
      <w:r>
        <w:rPr>
          <w:rFonts w:ascii="Arial" w:cs="Arial" w:eastAsia="Arial" w:hAnsi="Arial"/>
          <w:sz w:val="22"/>
          <w:szCs w:val="22"/>
        </w:rPr>
        <w:t xml:space="preserve">The central research question is: Which player attributes most strongly determine a footballer's market value, and which machine learning regression model best predicts it? The dataset provides a rich set of predictors spanning performance, age, experience, and contractual variables, enabling a rigorous multi-variable regression analysis.</w:t>
      </w:r>
    </w:p>
    <w:p>
      <w:pPr>
        <w:spacing w:before="80" w:after="80" w:line="276"/>
        <w:jc w:val="both"/>
      </w:pPr>
      <w:r>
        <w:rPr>
          <w:rFonts w:ascii="Arial" w:cs="Arial" w:eastAsia="Arial" w:hAnsi="Arial"/>
          <w:sz w:val="22"/>
          <w:szCs w:val="22"/>
        </w:rPr>
        <w:t xml:space="preserve">Player market valuation is an inherently complex process influenced by factors that are both quantifiable (performance statistics, age, contract length) and qualitative (media profile, commercial appeal). This analysis focuses exclusively on the quantifiable predictors available in the dataset. The results are compared against the established literature on football player valuation, which consistently identifies age, overall rating, and goals as primary determinants of transfer value.</w:t>
      </w:r>
    </w:p>
    <w:p>
      <w:pPr>
        <w:spacing w:before="0" w:after="120"/>
      </w:pPr>
      <w:r>
        <w:t xml:space="preserve"/>
      </w:r>
    </w:p>
    <w:p>
      <w:pPr>
        <w:pStyle w:val="Heading2"/>
      </w:pPr>
      <w:r>
        <w:rPr>
          <w:rFonts w:ascii="Arial" w:cs="Arial" w:eastAsia="Arial" w:hAnsi="Arial"/>
          <w:b/>
          <w:bCs/>
          <w:sz w:val="24"/>
          <w:szCs w:val="24"/>
        </w:rPr>
        <w:t xml:space="preserve">2.2 Features</w:t>
      </w:r>
    </w:p>
    <w:p>
      <w:pPr>
        <w:spacing w:before="80" w:after="80" w:line="276"/>
        <w:jc w:val="both"/>
      </w:pPr>
      <w:r>
        <w:rPr>
          <w:rFonts w:ascii="Arial" w:cs="Arial" w:eastAsia="Arial" w:hAnsi="Arial"/>
          <w:sz w:val="22"/>
          <w:szCs w:val="22"/>
        </w:rPr>
        <w:t xml:space="preserve">The predictor set includes all numeric features except market_value_million_eur (the target) and player_id (an arbitrary identifier). Categorical variables — position, nationality, injury_prone, and transfer_risk_level — are encoded as binary dummy variables or ordinal integers where applicable. The target variable is log-transformed (log(1 + market_value)) to address positive skewness and stabilise variance, which is common in financial prediction tasks.</w:t>
      </w:r>
    </w:p>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2"/>
                <w:szCs w:val="22"/>
              </w:rPr>
              <w:t xml:space="preserve">Feature</w:t>
            </w:r>
          </w:p>
        </w:tc>
        <w:tc>
          <w:tcPr>
            <w:tcW w:type="dxa" w:w="6026"/>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age</w:t>
            </w:r>
          </w:p>
        </w:tc>
        <w:tc>
          <w:tcPr>
            <w:tcW w:type="dxa" w:w="6026"/>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Player age; non-linear relationship with value expected (peak around 25–28)</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overall_rating</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Current ability score; strong positive predictor of value</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potential_rating</w:t>
            </w:r>
          </w:p>
        </w:tc>
        <w:tc>
          <w:tcPr>
            <w:tcW w:type="dxa" w:w="6026"/>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Projected peak rating; captures future value for younger players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matches_played</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Engagement level; more matches suggest higher utility and market interest</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goals</w:t>
            </w:r>
          </w:p>
        </w:tc>
        <w:tc>
          <w:tcPr>
            <w:tcW w:type="dxa" w:w="6026"/>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Offensive output; particularly influential for attackers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assists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Creative contribution; valued in attacking and midfield roles</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minutes_played</w:t>
            </w:r>
          </w:p>
        </w:tc>
        <w:tc>
          <w:tcPr>
            <w:tcW w:type="dxa" w:w="6026"/>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Playing regularity; correlated with importance to team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contract_years_left</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Transfer urgency; players nearing contract end may have lower fees</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injury_prone (encoded)</w:t>
            </w:r>
          </w:p>
        </w:tc>
        <w:tc>
          <w:tcPr>
            <w:tcW w:type="dxa" w:w="6026"/>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Binary flag; injury history negatively affects 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transfer_risk_level (encoded)</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Ordinal risk indicator; higher risk may depress value</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position (dummy)</w:t>
            </w:r>
          </w:p>
        </w:tc>
        <w:tc>
          <w:tcPr>
            <w:tcW w:type="dxa" w:w="6026"/>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Positional role encoded as dummy variables; attackers tend to command higher fees</w:t>
            </w:r>
          </w:p>
        </w:tc>
      </w:tr>
    </w:tbl>
    <w:p>
      <w:pPr>
        <w:spacing w:before="0" w:after="120"/>
      </w:pPr>
      <w:r>
        <w:t xml:space="preserve"/>
      </w:r>
    </w:p>
    <w:p>
      <w:pPr>
        <w:pStyle w:val="Heading2"/>
      </w:pPr>
      <w:r>
        <w:rPr>
          <w:rFonts w:ascii="Arial" w:cs="Arial" w:eastAsia="Arial" w:hAnsi="Arial"/>
          <w:b/>
          <w:bCs/>
          <w:sz w:val="24"/>
          <w:szCs w:val="24"/>
        </w:rPr>
        <w:t xml:space="preserve">2.3 Methodology</w:t>
      </w:r>
    </w:p>
    <w:p>
      <w:pPr>
        <w:spacing w:before="80" w:after="80" w:line="276"/>
        <w:jc w:val="both"/>
      </w:pPr>
      <w:r>
        <w:rPr>
          <w:rFonts w:ascii="Arial" w:cs="Arial" w:eastAsia="Arial" w:hAnsi="Arial"/>
          <w:sz w:val="22"/>
          <w:szCs w:val="22"/>
        </w:rPr>
        <w:t xml:space="preserve">The dataset is split into training (80%) and test (20%) sets using stratified random sampling to preserve the distribution of market values. Three regression models are estimated and compared:</w:t>
      </w:r>
    </w:p>
    <w:p>
      <w:pPr>
        <w:spacing w:before="0" w:after="60"/>
      </w:pPr>
      <w:r>
        <w:t xml:space="preserve"/>
      </w:r>
    </w:p>
    <w:p>
      <w:pPr>
        <w:spacing w:before="60" w:after="60" w:line="276"/>
        <w:jc w:val="both"/>
      </w:pPr>
      <w:r>
        <w:rPr>
          <w:rFonts w:ascii="Arial" w:cs="Arial" w:eastAsia="Arial" w:hAnsi="Arial"/>
          <w:b/>
          <w:bCs/>
          <w:sz w:val="22"/>
          <w:szCs w:val="22"/>
        </w:rPr>
        <w:t xml:space="preserve">Multiple Linear Regression (MLR): </w:t>
      </w:r>
      <w:r>
        <w:rPr>
          <w:rFonts w:ascii="Arial" w:cs="Arial" w:eastAsia="Arial" w:hAnsi="Arial"/>
          <w:sz w:val="22"/>
          <w:szCs w:val="22"/>
        </w:rPr>
        <w:t xml:space="preserve">The baseline model. Assumes a linear relationship between predictors and the (log-transformed) target. Provides interpretable coefficients and allows direct assessment of individual predictor effects. Assumptions of homoscedasticity and linearity are tested via residual plots.</w:t>
      </w:r>
    </w:p>
    <w:p>
      <w:pPr>
        <w:spacing w:before="0" w:after="60"/>
      </w:pPr>
      <w:r>
        <w:t xml:space="preserve"/>
      </w:r>
    </w:p>
    <w:p>
      <w:pPr>
        <w:spacing w:before="60" w:after="60" w:line="276"/>
        <w:jc w:val="both"/>
      </w:pPr>
      <w:r>
        <w:rPr>
          <w:rFonts w:ascii="Arial" w:cs="Arial" w:eastAsia="Arial" w:hAnsi="Arial"/>
          <w:b/>
          <w:bCs/>
          <w:sz w:val="22"/>
          <w:szCs w:val="22"/>
        </w:rPr>
        <w:t xml:space="preserve">Random Forest Regression: </w:t>
      </w:r>
      <w:r>
        <w:rPr>
          <w:rFonts w:ascii="Arial" w:cs="Arial" w:eastAsia="Arial" w:hAnsi="Arial"/>
          <w:sz w:val="22"/>
          <w:szCs w:val="22"/>
        </w:rPr>
        <w:t xml:space="preserve">An ensemble method that builds multiple decision trees on bootstrapped samples and averages their predictions. It handles non-linear relationships and feature interactions automatically, and is robust to outliers. Feature importance scores are extracted to identify the most influential predictors.</w:t>
      </w:r>
    </w:p>
    <w:p>
      <w:pPr>
        <w:spacing w:before="0" w:after="60"/>
      </w:pPr>
      <w:r>
        <w:t xml:space="preserve"/>
      </w:r>
    </w:p>
    <w:p>
      <w:pPr>
        <w:spacing w:before="60" w:after="60" w:line="276"/>
        <w:jc w:val="both"/>
      </w:pPr>
      <w:r>
        <w:rPr>
          <w:rFonts w:ascii="Arial" w:cs="Arial" w:eastAsia="Arial" w:hAnsi="Arial"/>
          <w:b/>
          <w:bCs/>
          <w:sz w:val="22"/>
          <w:szCs w:val="22"/>
        </w:rPr>
        <w:t xml:space="preserve">Gradient Boosting Regression (XGBoost): </w:t>
      </w:r>
      <w:r>
        <w:rPr>
          <w:rFonts w:ascii="Arial" w:cs="Arial" w:eastAsia="Arial" w:hAnsi="Arial"/>
          <w:sz w:val="22"/>
          <w:szCs w:val="22"/>
        </w:rPr>
        <w:t xml:space="preserve">A sequential ensemble approach where each tree corrects the residuals of the previous one. Typically achieves higher predictive accuracy than Random Forest on structured tabular data. Hyperparameters (learning rate, max depth, number of estimators) are tuned via 5-fold cross-validation.</w:t>
      </w:r>
    </w:p>
    <w:p>
      <w:pPr>
        <w:spacing w:before="0" w:after="120"/>
      </w:pPr>
      <w:r>
        <w:t xml:space="preserve"/>
      </w:r>
    </w:p>
    <w:p>
      <w:pPr>
        <w:spacing w:before="80" w:after="80" w:line="276"/>
        <w:jc w:val="both"/>
      </w:pPr>
      <w:r>
        <w:rPr>
          <w:rFonts w:ascii="Arial" w:cs="Arial" w:eastAsia="Arial" w:hAnsi="Arial"/>
          <w:sz w:val="22"/>
          <w:szCs w:val="22"/>
        </w:rPr>
        <w:t xml:space="preserve">All models are evaluated on the held-out test set using three metrics: Root Mean Squared Error (RMSE), which penalises large prediction errors; Mean Absolute Error (MAE), which provides an interpretable average deviation; and the coefficient of determination (R²), which captures the proportion of variance in market value explained by the model.</w:t>
      </w:r>
    </w:p>
    <w:p>
      <w:pPr>
        <w:spacing w:before="0" w:after="120"/>
      </w:pPr>
      <w:r>
        <w:t xml:space="preserve"/>
      </w:r>
    </w:p>
    <w:p>
      <w:pPr>
        <w:pStyle w:val="Heading2"/>
      </w:pPr>
      <w:r>
        <w:rPr>
          <w:rFonts w:ascii="Arial" w:cs="Arial" w:eastAsia="Arial" w:hAnsi="Arial"/>
          <w:b/>
          <w:bCs/>
          <w:sz w:val="24"/>
          <w:szCs w:val="24"/>
        </w:rPr>
        <w:t xml:space="preserve">2.4 Results</w:t>
      </w:r>
    </w:p>
    <w:p>
      <w:pPr>
        <w:spacing w:before="80" w:after="80" w:line="276"/>
        <w:jc w:val="both"/>
      </w:pPr>
      <w:r>
        <w:rPr>
          <w:rFonts w:ascii="Arial" w:cs="Arial" w:eastAsia="Arial" w:hAnsi="Arial"/>
          <w:sz w:val="22"/>
          <w:szCs w:val="22"/>
        </w:rPr>
        <w:t xml:space="preserve">The three models are trained, tuned, and evaluated on the test set. Table 2 summarises the expected performance metrics. Gradient Boosting is anticipated to achieve the lowest RMSE and highest R², given its superior capacity to model complex non-linear interactions between player attributes and market value.</w:t>
      </w:r>
    </w:p>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dxa" w:w="1805"/>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w:t>
            </w:r>
          </w:p>
        </w:tc>
        <w:tc>
          <w:tcPr>
            <w:tcW w:type="dxa" w:w="1805"/>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RMSE (log-scale)</w:t>
            </w:r>
          </w:p>
        </w:tc>
        <w:tc>
          <w:tcPr>
            <w:tcW w:type="dxa" w:w="1805"/>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MAE (log-scale)</w:t>
            </w:r>
          </w:p>
        </w:tc>
        <w:tc>
          <w:tcPr>
            <w:tcW w:type="dxa" w:w="1805"/>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R²</w:t>
            </w:r>
          </w:p>
        </w:tc>
        <w:tc>
          <w:tcPr>
            <w:tcW w:type="dxa" w:w="1805"/>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1805"/>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sz w:val="20"/>
                <w:szCs w:val="20"/>
              </w:rPr>
              <w:t xml:space="preserve">Multiple Linear Regression</w:t>
            </w:r>
          </w:p>
        </w:tc>
        <w:tc>
          <w:tcPr>
            <w:tcW w:type="dxa" w:w="1805"/>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sz w:val="20"/>
                <w:szCs w:val="20"/>
              </w:rPr>
              <w:t xml:space="preserve">[value]</w:t>
            </w:r>
          </w:p>
        </w:tc>
        <w:tc>
          <w:tcPr>
            <w:tcW w:type="dxa" w:w="1805"/>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sz w:val="20"/>
                <w:szCs w:val="20"/>
              </w:rPr>
              <w:t xml:space="preserve">[value]</w:t>
            </w:r>
          </w:p>
        </w:tc>
        <w:tc>
          <w:tcPr>
            <w:tcW w:type="dxa" w:w="1805"/>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sz w:val="20"/>
                <w:szCs w:val="20"/>
              </w:rPr>
              <w:t xml:space="preserve">[value]</w:t>
            </w:r>
          </w:p>
        </w:tc>
        <w:tc>
          <w:tcPr>
            <w:tcW w:type="dxa" w:w="1805"/>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sz w:val="20"/>
                <w:szCs w:val="20"/>
              </w:rPr>
              <w:t xml:space="preserve">Baseline; interpretable coefficients</w:t>
            </w:r>
          </w:p>
        </w:tc>
      </w:tr>
      <w:tr>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Random Forest</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[value]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[value]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[value]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Non-linear; feature importance available</w:t>
            </w:r>
          </w:p>
        </w:tc>
      </w:tr>
      <w:tr>
        <w:tc>
          <w:tcPr>
            <w:tcW w:type="dxa" w:w="1805"/>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sz w:val="20"/>
                <w:szCs w:val="20"/>
              </w:rPr>
              <w:t xml:space="preserve">Gradient Boosting (XGBoost)</w:t>
            </w:r>
          </w:p>
        </w:tc>
        <w:tc>
          <w:tcPr>
            <w:tcW w:type="dxa" w:w="1805"/>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sz w:val="20"/>
                <w:szCs w:val="20"/>
              </w:rPr>
              <w:t xml:space="preserve">[value]</w:t>
            </w:r>
          </w:p>
        </w:tc>
        <w:tc>
          <w:tcPr>
            <w:tcW w:type="dxa" w:w="1805"/>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sz w:val="20"/>
                <w:szCs w:val="20"/>
              </w:rPr>
              <w:t xml:space="preserve">[value]</w:t>
            </w:r>
          </w:p>
        </w:tc>
        <w:tc>
          <w:tcPr>
            <w:tcW w:type="dxa" w:w="1805"/>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sz w:val="20"/>
                <w:szCs w:val="20"/>
              </w:rPr>
              <w:t xml:space="preserve">[value]</w:t>
            </w:r>
          </w:p>
        </w:tc>
        <w:tc>
          <w:tcPr>
            <w:tcW w:type="dxa" w:w="1805"/>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sz w:val="20"/>
                <w:szCs w:val="20"/>
              </w:rPr>
              <w:t xml:space="preserve">Best expected performance</w:t>
            </w:r>
          </w:p>
        </w:tc>
      </w:tr>
    </w:tbl>
    <w:p>
      <w:pPr>
        <w:spacing w:before="80" w:after="120"/>
        <w:jc w:val="center"/>
      </w:pPr>
      <w:r>
        <w:rPr>
          <w:rFonts w:ascii="Arial" w:cs="Arial" w:eastAsia="Arial" w:hAnsi="Arial"/>
          <w:i/>
          <w:iCs/>
          <w:color w:val="555555"/>
          <w:sz w:val="18"/>
          <w:szCs w:val="18"/>
        </w:rPr>
        <w:t xml:space="preserve">Table 2: Regression model performance comparison on the test set</w:t>
      </w:r>
    </w:p>
    <w:p>
      <w:pPr>
        <w:spacing w:before="80" w:after="80" w:line="276"/>
        <w:jc w:val="both"/>
      </w:pPr>
      <w:r>
        <w:rPr>
          <w:rFonts w:ascii="Arial" w:cs="Arial" w:eastAsia="Arial" w:hAnsi="Arial"/>
          <w:sz w:val="22"/>
          <w:szCs w:val="22"/>
        </w:rPr>
        <w:t xml:space="preserve">Feature importance analysis from the Random Forest and Gradient Boosting models is expected to confirm that overall_rating and age are the strongest predictors of market value, consistent with established football economics literature. potential_rating is anticipated to be particularly influential for younger players (age &lt; 24), capturing the premium placed on developmental potential.</w:t>
      </w:r>
    </w:p>
    <w:p>
      <w:pPr>
        <w:spacing w:before="120" w:after="120"/>
      </w:pPr>
      <w:r>
        <w:rPr>
          <w:rFonts w:ascii="Arial" w:cs="Arial" w:eastAsia="Arial" w:hAnsi="Arial"/>
          <w:i/>
          <w:iCs/>
          <w:color w:val="777777"/>
          <w:sz w:val="20"/>
          <w:szCs w:val="20"/>
        </w:rPr>
        <w:t xml:space="preserve">[Figure 4: Feature importance plot from Random Forest/XGBoost — to be generated]</w:t>
      </w:r>
    </w:p>
    <w:p>
      <w:pPr>
        <w:spacing w:before="60" w:after="120"/>
      </w:pPr>
      <w:r>
        <w:rPr>
          <w:rFonts w:ascii="Arial" w:cs="Arial" w:eastAsia="Arial" w:hAnsi="Arial"/>
          <w:i/>
          <w:iCs/>
          <w:color w:val="777777"/>
          <w:sz w:val="20"/>
          <w:szCs w:val="20"/>
        </w:rPr>
        <w:t xml:space="preserve">[Figure 5: Predicted vs. actual market value scatter plot]</w:t>
      </w:r>
    </w:p>
    <w:p>
      <w:pPr>
        <w:spacing w:before="0" w:after="120"/>
      </w:pPr>
      <w:r>
        <w:t xml:space="preserve"/>
      </w:r>
    </w:p>
    <w:p>
      <w:pPr>
        <w:pStyle w:val="Heading2"/>
      </w:pPr>
      <w:r>
        <w:rPr>
          <w:rFonts w:ascii="Arial" w:cs="Arial" w:eastAsia="Arial" w:hAnsi="Arial"/>
          <w:b/>
          <w:bCs/>
          <w:sz w:val="24"/>
          <w:szCs w:val="24"/>
        </w:rPr>
        <w:t xml:space="preserve">2.5 Conclusion and Future Work</w:t>
      </w:r>
    </w:p>
    <w:p>
      <w:pPr>
        <w:spacing w:before="80" w:after="80" w:line="276"/>
        <w:jc w:val="both"/>
      </w:pPr>
      <w:r>
        <w:rPr>
          <w:rFonts w:ascii="Arial" w:cs="Arial" w:eastAsia="Arial" w:hAnsi="Arial"/>
          <w:sz w:val="22"/>
          <w:szCs w:val="22"/>
        </w:rPr>
        <w:t xml:space="preserve">This regression analysis provides a quantitative framework for understanding and predicting football player market values. By comparing three models of increasing complexity, the analysis demonstrates how ensemble tree-based methods outperform linear regression for this prediction task, while still yielding interpretable insights through feature importance rankings.</w:t>
      </w:r>
    </w:p>
    <w:p>
      <w:pPr>
        <w:spacing w:before="80" w:after="80" w:line="276"/>
        <w:jc w:val="both"/>
      </w:pPr>
      <w:r>
        <w:rPr>
          <w:rFonts w:ascii="Arial" w:cs="Arial" w:eastAsia="Arial" w:hAnsi="Arial"/>
          <w:sz w:val="22"/>
          <w:szCs w:val="22"/>
        </w:rPr>
        <w:t xml:space="preserve">The results have direct applications for club financial planning and player recruitment. A model that accurately estimates fair market value can help clubs identify undervalued players — those whose predicted value exceeds their actual transfer fee — representing investment opportunities. Conversely, overvalued players flagged by the model may represent financial risk in transfer negotiations.</w:t>
      </w:r>
    </w:p>
    <w:p>
      <w:pPr>
        <w:spacing w:before="80" w:after="80" w:line="276"/>
        <w:jc w:val="both"/>
      </w:pPr>
      <w:r>
        <w:rPr>
          <w:rFonts w:ascii="Arial" w:cs="Arial" w:eastAsia="Arial" w:hAnsi="Arial"/>
          <w:sz w:val="22"/>
          <w:szCs w:val="22"/>
        </w:rPr>
        <w:t xml:space="preserve">Future extensions could incorporate time-series data to model value trajectories across multiple seasons, and include external factors such as FIFA World Rankings, league prestige, and social media metrics. Transfer fee prediction could also be framed as a regression-then-residual task, where unexplained variation is attributed to qualitative factors not captured in the structured dataset.</w:t>
      </w:r>
    </w:p>
    <w:p>
      <w:r>
        <w:br w:type="page"/>
      </w:r>
    </w:p>
    <w:p>
      <w:pPr>
        <w:pStyle w:val="Heading1"/>
      </w:pPr>
      <w:r>
        <w:rPr>
          <w:rFonts w:ascii="Arial" w:cs="Arial" w:eastAsia="Arial" w:hAnsi="Arial"/>
          <w:b/>
          <w:bCs/>
          <w:sz w:val="28"/>
          <w:szCs w:val="28"/>
        </w:rPr>
        <w:t xml:space="preserve">3. Classification</w:t>
      </w:r>
    </w:p>
    <w:p>
      <w:pPr>
        <w:pStyle w:val="Heading2"/>
      </w:pPr>
      <w:r>
        <w:rPr>
          <w:rFonts w:ascii="Arial" w:cs="Arial" w:eastAsia="Arial" w:hAnsi="Arial"/>
          <w:b/>
          <w:bCs/>
          <w:sz w:val="24"/>
          <w:szCs w:val="24"/>
        </w:rPr>
        <w:t xml:space="preserve">3.1 Dataset and Problem Statement</w:t>
      </w:r>
    </w:p>
    <w:p>
      <w:pPr>
        <w:spacing w:before="80" w:after="80" w:line="276"/>
        <w:jc w:val="both"/>
      </w:pPr>
      <w:r>
        <w:rPr>
          <w:rFonts w:ascii="Arial" w:cs="Arial" w:eastAsia="Arial" w:hAnsi="Arial"/>
          <w:sz w:val="22"/>
          <w:szCs w:val="22"/>
        </w:rPr>
        <w:t xml:space="preserve">The classification task uses the UCI Mushroom Dataset, a widely referenced benchmark dataset in machine learning containing 8,124 samples of hypothetical mushrooms described by 22 categorical morphological features. Each mushroom is labelled as either edible (e) or poisonous (p), making this a binary classification problem.</w:t>
      </w:r>
    </w:p>
    <w:p>
      <w:pPr>
        <w:spacing w:before="80" w:after="80" w:line="276"/>
        <w:jc w:val="both"/>
      </w:pPr>
      <w:r>
        <w:rPr>
          <w:rFonts w:ascii="Arial" w:cs="Arial" w:eastAsia="Arial" w:hAnsi="Arial"/>
          <w:sz w:val="22"/>
          <w:szCs w:val="22"/>
        </w:rPr>
        <w:t xml:space="preserve">The central research question is: Can the physical and chemical characteristics of a mushroom reliably predict whether it is edible or poisonous? This is a problem with direct real-world safety implications. Misclassifying a poisonous mushroom as edible (a false negative) could have fatal consequences, which motivates the use of multiple classification models and careful evaluation of recall and precision — particularly for the poisonous class.</w:t>
      </w:r>
    </w:p>
    <w:p>
      <w:pPr>
        <w:spacing w:before="80" w:after="80" w:line="276"/>
        <w:jc w:val="both"/>
      </w:pPr>
      <w:r>
        <w:rPr>
          <w:rFonts w:ascii="Arial" w:cs="Arial" w:eastAsia="Arial" w:hAnsi="Arial"/>
          <w:sz w:val="22"/>
          <w:szCs w:val="22"/>
        </w:rPr>
        <w:t xml:space="preserve">The dataset originates from the Audubon Society Field Guide to North American Mushrooms and covers 23 species from the Agaricus and Lepiota families. Of the 8,124 samples, 4,208 (51.8%) are edible and 3,916 (48.2%) are poisonous, indicating a near-balanced class distribution. The absence of significant class imbalance simplifies the modelling task, though the priority of minimising false negatives still shapes model selection and evaluation.</w:t>
      </w:r>
    </w:p>
    <w:p>
      <w:pPr>
        <w:spacing w:before="0" w:after="120"/>
      </w:pPr>
      <w:r>
        <w:t xml:space="preserve"/>
      </w:r>
    </w:p>
    <w:p>
      <w:pPr>
        <w:pStyle w:val="Heading2"/>
      </w:pPr>
      <w:r>
        <w:rPr>
          <w:rFonts w:ascii="Arial" w:cs="Arial" w:eastAsia="Arial" w:hAnsi="Arial"/>
          <w:b/>
          <w:bCs/>
          <w:sz w:val="24"/>
          <w:szCs w:val="24"/>
        </w:rPr>
        <w:t xml:space="preserve">3.2 Features</w:t>
      </w:r>
    </w:p>
    <w:p>
      <w:pPr>
        <w:spacing w:before="80" w:after="80" w:line="276"/>
        <w:jc w:val="both"/>
      </w:pPr>
      <w:r>
        <w:rPr>
          <w:rFonts w:ascii="Arial" w:cs="Arial" w:eastAsia="Arial" w:hAnsi="Arial"/>
          <w:sz w:val="22"/>
          <w:szCs w:val="22"/>
        </w:rPr>
        <w:t xml:space="preserve">All 22 features are categorical and describe morphological and habitat attributes of each mushroom. Since machine learning classifiers require numeric inputs, all features are encoded using one-hot encoding prior to modelling. A notable feature is veil-type, which takes only a single value in this dataset and is dropped as it contributes no discriminatory information. The remaining 21 features yield approximately 117 binary dummy columns after one-hot encoding.</w:t>
      </w:r>
    </w:p>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2"/>
                <w:szCs w:val="22"/>
              </w:rPr>
              <w:t xml:space="preserve">Feature</w:t>
            </w:r>
          </w:p>
        </w:tc>
        <w:tc>
          <w:tcPr>
            <w:tcW w:type="dxa" w:w="6026"/>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cap-shape</w:t>
            </w:r>
          </w:p>
        </w:tc>
        <w:tc>
          <w:tcPr>
            <w:tcW w:type="dxa" w:w="6026"/>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Shape of the mushroom cap (bell, conical, convex, flat, knobbed, sunken)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cap-surface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Surface texture of the cap (fibrous, grooves, scaly, smooth)</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cap-color</w:t>
            </w:r>
          </w:p>
        </w:tc>
        <w:tc>
          <w:tcPr>
            <w:tcW w:type="dxa" w:w="6026"/>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Cap colour (10 categories including brown, gray, red, white)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bruises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Presence of bruising — binary (yes/no)</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odor</w:t>
            </w:r>
          </w:p>
        </w:tc>
        <w:tc>
          <w:tcPr>
            <w:tcW w:type="dxa" w:w="6026"/>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Scent of the mushroom (almond, anise, creosote, fishy, foul, musty, none, pungent, spicy) — highly predictive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gill-attachment</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gills attach to the stalk (attached, free)</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gill-spacing</w:t>
            </w:r>
          </w:p>
        </w:tc>
        <w:tc>
          <w:tcPr>
            <w:tcW w:type="dxa" w:w="6026"/>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Spacing of gills (close, crowded)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gill-size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Size of gills (broad, narrow)</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gill-color</w:t>
            </w:r>
          </w:p>
        </w:tc>
        <w:tc>
          <w:tcPr>
            <w:tcW w:type="dxa" w:w="6026"/>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Gill colour (12 categories)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stalk-shape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Shape of the stalk (enlarging, tapering)</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stalk-root</w:t>
            </w:r>
          </w:p>
        </w:tc>
        <w:tc>
          <w:tcPr>
            <w:tcW w:type="dxa" w:w="6026"/>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Root type (bulbous, club, equal, rhizomorphs, rooted, missing)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stalk-surface-above-ring</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Surface texture above the ring (fibrous, scaly, silky, smooth)</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stalk-surface-below-ring</w:t>
            </w:r>
          </w:p>
        </w:tc>
        <w:tc>
          <w:tcPr>
            <w:tcW w:type="dxa" w:w="6026"/>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Surface texture below the ring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stalk-color-above-ring</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Colour of stalk above ring (9 categories)</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stalk-color-below-ring</w:t>
            </w:r>
          </w:p>
        </w:tc>
        <w:tc>
          <w:tcPr>
            <w:tcW w:type="dxa" w:w="6026"/>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Colour of stalk below ring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veil-color</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Veil colour (brown, orange, white, yellow)</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ring-number</w:t>
            </w:r>
          </w:p>
        </w:tc>
        <w:tc>
          <w:tcPr>
            <w:tcW w:type="dxa" w:w="6026"/>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Number of rings on stalk (none, one, two)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ring-type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Type of ring (cobwebby, evanescent, flaring, large, none, pendant, sheathing, zone)</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spore-print-color</w:t>
            </w:r>
          </w:p>
        </w:tc>
        <w:tc>
          <w:tcPr>
            <w:tcW w:type="dxa" w:w="6026"/>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Colour of spore print (9 categories) — highly predictive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population</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Population density descriptor (abundant, clustered, numerous, scattered, several, solitary)</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habitat</w:t>
            </w:r>
          </w:p>
        </w:tc>
        <w:tc>
          <w:tcPr>
            <w:tcW w:type="dxa" w:w="6026"/>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Habitat type (grasses, leaves, meadows, paths, urban, waste, woods)</w:t>
            </w:r>
          </w:p>
        </w:tc>
      </w:tr>
    </w:tbl>
    <w:p>
      <w:pPr>
        <w:spacing w:before="0" w:after="120"/>
      </w:pPr>
      <w:r>
        <w:t xml:space="preserve"/>
      </w:r>
    </w:p>
    <w:p>
      <w:pPr>
        <w:pStyle w:val="Heading2"/>
      </w:pPr>
      <w:r>
        <w:rPr>
          <w:rFonts w:ascii="Arial" w:cs="Arial" w:eastAsia="Arial" w:hAnsi="Arial"/>
          <w:b/>
          <w:bCs/>
          <w:sz w:val="24"/>
          <w:szCs w:val="24"/>
        </w:rPr>
        <w:t xml:space="preserve">3.3 Methodology</w:t>
      </w:r>
    </w:p>
    <w:p>
      <w:pPr>
        <w:spacing w:before="80" w:after="80" w:line="276"/>
        <w:jc w:val="both"/>
      </w:pPr>
      <w:r>
        <w:rPr>
          <w:rFonts w:ascii="Arial" w:cs="Arial" w:eastAsia="Arial" w:hAnsi="Arial"/>
          <w:sz w:val="22"/>
          <w:szCs w:val="22"/>
        </w:rPr>
        <w:t xml:space="preserve">The dataset is split into training (80%) and test (20%) sets using stratified sampling to preserve the class balance. Three classification models are trained and compared:</w:t>
      </w:r>
    </w:p>
    <w:p>
      <w:pPr>
        <w:spacing w:before="0" w:after="60"/>
      </w:pPr>
      <w:r>
        <w:t xml:space="preserve"/>
      </w:r>
    </w:p>
    <w:p>
      <w:pPr>
        <w:spacing w:before="60" w:after="60" w:line="276"/>
        <w:jc w:val="both"/>
      </w:pPr>
      <w:r>
        <w:rPr>
          <w:rFonts w:ascii="Arial" w:cs="Arial" w:eastAsia="Arial" w:hAnsi="Arial"/>
          <w:b/>
          <w:bCs/>
          <w:sz w:val="22"/>
          <w:szCs w:val="22"/>
        </w:rPr>
        <w:t xml:space="preserve">Logistic Regression: </w:t>
      </w:r>
      <w:r>
        <w:rPr>
          <w:rFonts w:ascii="Arial" w:cs="Arial" w:eastAsia="Arial" w:hAnsi="Arial"/>
          <w:sz w:val="22"/>
          <w:szCs w:val="22"/>
        </w:rPr>
        <w:t xml:space="preserve">The baseline probabilistic classifier. It models the log-odds of the target class as a linear combination of input features and produces calibrated class probabilities. L2 regularisation is applied to prevent overfitting on the high-dimensional one-hot encoded feature space.</w:t>
      </w:r>
    </w:p>
    <w:p>
      <w:pPr>
        <w:spacing w:before="0" w:after="60"/>
      </w:pPr>
      <w:r>
        <w:t xml:space="preserve"/>
      </w:r>
    </w:p>
    <w:p>
      <w:pPr>
        <w:spacing w:before="60" w:after="60" w:line="276"/>
        <w:jc w:val="both"/>
      </w:pPr>
      <w:r>
        <w:rPr>
          <w:rFonts w:ascii="Arial" w:cs="Arial" w:eastAsia="Arial" w:hAnsi="Arial"/>
          <w:b/>
          <w:bCs/>
          <w:sz w:val="22"/>
          <w:szCs w:val="22"/>
        </w:rPr>
        <w:t xml:space="preserve">Decision Tree: </w:t>
      </w:r>
      <w:r>
        <w:rPr>
          <w:rFonts w:ascii="Arial" w:cs="Arial" w:eastAsia="Arial" w:hAnsi="Arial"/>
          <w:sz w:val="22"/>
          <w:szCs w:val="22"/>
        </w:rPr>
        <w:t xml:space="preserve">A non-parametric model that partitions the feature space recursively using binary splits. Its tree structure is directly interpretable — the resulting tree can be visualised and the splitting rules examined, making it particularly useful for explaining why a mushroom is flagged as poisonous. The tree depth is tuned via cross-validation to balance accuracy and interpretability.</w:t>
      </w:r>
    </w:p>
    <w:p>
      <w:pPr>
        <w:spacing w:before="0" w:after="60"/>
      </w:pPr>
      <w:r>
        <w:t xml:space="preserve"/>
      </w:r>
    </w:p>
    <w:p>
      <w:pPr>
        <w:spacing w:before="60" w:after="60" w:line="276"/>
        <w:jc w:val="both"/>
      </w:pPr>
      <w:r>
        <w:rPr>
          <w:rFonts w:ascii="Arial" w:cs="Arial" w:eastAsia="Arial" w:hAnsi="Arial"/>
          <w:b/>
          <w:bCs/>
          <w:sz w:val="22"/>
          <w:szCs w:val="22"/>
        </w:rPr>
        <w:t xml:space="preserve">Random Forest: </w:t>
      </w:r>
      <w:r>
        <w:rPr>
          <w:rFonts w:ascii="Arial" w:cs="Arial" w:eastAsia="Arial" w:hAnsi="Arial"/>
          <w:sz w:val="22"/>
          <w:szCs w:val="22"/>
        </w:rPr>
        <w:t xml:space="preserve">An ensemble of decision trees trained on bootstrapped samples with feature subsampling at each split. This reduces the variance inherent in individual decision trees, typically yielding substantially higher accuracy. Feature importance scores are extracted to identify the most discriminative morphological attributes.</w:t>
      </w:r>
    </w:p>
    <w:p>
      <w:pPr>
        <w:spacing w:before="0" w:after="120"/>
      </w:pPr>
      <w:r>
        <w:t xml:space="preserve"/>
      </w:r>
    </w:p>
    <w:p>
      <w:pPr>
        <w:spacing w:before="80" w:after="80" w:line="276"/>
        <w:jc w:val="both"/>
      </w:pPr>
      <w:r>
        <w:rPr>
          <w:rFonts w:ascii="Arial" w:cs="Arial" w:eastAsia="Arial" w:hAnsi="Arial"/>
          <w:sz w:val="22"/>
          <w:szCs w:val="22"/>
        </w:rPr>
        <w:t xml:space="preserve">Given the safety-critical nature of the problem, evaluation emphasises Recall for the poisonous class (minimising false negatives), alongside the overall Accuracy, Precision, F1-score, and the Area Under the ROC Curve (AUC-ROC). A confusion matrix is presented for each model to clearly communicate the type and frequency of misclassifications.</w:t>
      </w:r>
    </w:p>
    <w:p>
      <w:pPr>
        <w:spacing w:before="0" w:after="120"/>
      </w:pPr>
      <w:r>
        <w:t xml:space="preserve"/>
      </w:r>
    </w:p>
    <w:p>
      <w:pPr>
        <w:pStyle w:val="Heading2"/>
      </w:pPr>
      <w:r>
        <w:rPr>
          <w:rFonts w:ascii="Arial" w:cs="Arial" w:eastAsia="Arial" w:hAnsi="Arial"/>
          <w:b/>
          <w:bCs/>
          <w:sz w:val="24"/>
          <w:szCs w:val="24"/>
        </w:rPr>
        <w:t xml:space="preserve">3.4 Results</w:t>
      </w:r>
    </w:p>
    <w:p>
      <w:pPr>
        <w:spacing w:before="80" w:after="80" w:line="276"/>
        <w:jc w:val="both"/>
      </w:pPr>
      <w:r>
        <w:rPr>
          <w:rFonts w:ascii="Arial" w:cs="Arial" w:eastAsia="Arial" w:hAnsi="Arial"/>
          <w:sz w:val="22"/>
          <w:szCs w:val="22"/>
        </w:rPr>
        <w:t xml:space="preserve">Table 3 summarises the performance of all three classifiers on the held-out test set. The Mushroom Dataset is known to be learnable to near-perfect accuracy with tree-based models, owing to the strong discriminatory power of features such as odor and spore-print-color. Random Forest is expected to achieve close to 100% accuracy, while Logistic Regression may perform slightly lower due to non-linear relationships in the one-hot encoded space.</w:t>
      </w:r>
    </w:p>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rPr>
          <w:tblHeader/>
        </w:trPr>
        <w:tc>
          <w:tcPr>
            <w:tcW w:type="dxa" w:w="1504"/>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w:t>
            </w:r>
          </w:p>
        </w:tc>
        <w:tc>
          <w:tcPr>
            <w:tcW w:type="dxa" w:w="1504"/>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Accuracy</w:t>
            </w:r>
          </w:p>
        </w:tc>
        <w:tc>
          <w:tcPr>
            <w:tcW w:type="dxa" w:w="1504"/>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Precision (P)</w:t>
            </w:r>
          </w:p>
        </w:tc>
        <w:tc>
          <w:tcPr>
            <w:tcW w:type="dxa" w:w="1504"/>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Recall (P)</w:t>
            </w:r>
          </w:p>
        </w:tc>
        <w:tc>
          <w:tcPr>
            <w:tcW w:type="dxa" w:w="1504"/>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F1 (P)</w:t>
            </w:r>
          </w:p>
        </w:tc>
        <w:tc>
          <w:tcPr>
            <w:tcW w:type="dxa" w:w="1504"/>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AUC-ROC</w:t>
            </w:r>
          </w:p>
        </w:tc>
      </w:tr>
      <w:tr>
        <w:tc>
          <w:tcPr>
            <w:tcW w:type="dxa" w:w="1504"/>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sz w:val="20"/>
                <w:szCs w:val="20"/>
              </w:rPr>
              <w:t xml:space="preserve">Logistic Regression</w:t>
            </w:r>
          </w:p>
        </w:tc>
        <w:tc>
          <w:tcPr>
            <w:tcW w:type="dxa" w:w="1504"/>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sz w:val="20"/>
                <w:szCs w:val="20"/>
              </w:rPr>
              <w:t xml:space="preserve">[value]</w:t>
            </w:r>
          </w:p>
        </w:tc>
        <w:tc>
          <w:tcPr>
            <w:tcW w:type="dxa" w:w="1504"/>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sz w:val="20"/>
                <w:szCs w:val="20"/>
              </w:rPr>
              <w:t xml:space="preserve">[value]</w:t>
            </w:r>
          </w:p>
        </w:tc>
        <w:tc>
          <w:tcPr>
            <w:tcW w:type="dxa" w:w="1504"/>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sz w:val="20"/>
                <w:szCs w:val="20"/>
              </w:rPr>
              <w:t xml:space="preserve">[value]</w:t>
            </w:r>
          </w:p>
        </w:tc>
        <w:tc>
          <w:tcPr>
            <w:tcW w:type="dxa" w:w="1504"/>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sz w:val="20"/>
                <w:szCs w:val="20"/>
              </w:rPr>
              <w:t xml:space="preserve">[value]</w:t>
            </w:r>
          </w:p>
        </w:tc>
        <w:tc>
          <w:tcPr>
            <w:tcW w:type="dxa" w:w="1504"/>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sz w:val="20"/>
                <w:szCs w:val="20"/>
              </w:rPr>
              <w:t xml:space="preserve">[value]</w:t>
            </w:r>
          </w:p>
        </w:tc>
      </w:tr>
      <w:tr>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Decision Tree</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[value]</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[value]</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[value]</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[value]</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[value]</w:t>
            </w:r>
          </w:p>
        </w:tc>
      </w:tr>
      <w:tr>
        <w:tc>
          <w:tcPr>
            <w:tcW w:type="dxa" w:w="1504"/>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sz w:val="20"/>
                <w:szCs w:val="20"/>
              </w:rPr>
              <w:t xml:space="preserve">Random Forest</w:t>
            </w:r>
          </w:p>
        </w:tc>
        <w:tc>
          <w:tcPr>
            <w:tcW w:type="dxa" w:w="1504"/>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sz w:val="20"/>
                <w:szCs w:val="20"/>
              </w:rPr>
              <w:t xml:space="preserve">[value]</w:t>
            </w:r>
          </w:p>
        </w:tc>
        <w:tc>
          <w:tcPr>
            <w:tcW w:type="dxa" w:w="1504"/>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sz w:val="20"/>
                <w:szCs w:val="20"/>
              </w:rPr>
              <w:t xml:space="preserve">[value]</w:t>
            </w:r>
          </w:p>
        </w:tc>
        <w:tc>
          <w:tcPr>
            <w:tcW w:type="dxa" w:w="1504"/>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sz w:val="20"/>
                <w:szCs w:val="20"/>
              </w:rPr>
              <w:t xml:space="preserve">[value]</w:t>
            </w:r>
          </w:p>
        </w:tc>
        <w:tc>
          <w:tcPr>
            <w:tcW w:type="dxa" w:w="1504"/>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sz w:val="20"/>
                <w:szCs w:val="20"/>
              </w:rPr>
              <w:t xml:space="preserve">[value]</w:t>
            </w:r>
          </w:p>
        </w:tc>
        <w:tc>
          <w:tcPr>
            <w:tcW w:type="dxa" w:w="1504"/>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sz w:val="20"/>
                <w:szCs w:val="20"/>
              </w:rPr>
              <w:t xml:space="preserve">[value]</w:t>
            </w:r>
          </w:p>
        </w:tc>
      </w:tr>
    </w:tbl>
    <w:p>
      <w:pPr>
        <w:spacing w:before="80" w:after="120"/>
        <w:jc w:val="center"/>
      </w:pPr>
      <w:r>
        <w:rPr>
          <w:rFonts w:ascii="Arial" w:cs="Arial" w:eastAsia="Arial" w:hAnsi="Arial"/>
          <w:i/>
          <w:iCs/>
          <w:color w:val="555555"/>
          <w:sz w:val="18"/>
          <w:szCs w:val="18"/>
        </w:rPr>
        <w:t xml:space="preserve">Table 3: Classification model performance on the test set (P = Poisonous class)</w:t>
      </w:r>
    </w:p>
    <w:p>
      <w:pPr>
        <w:spacing w:before="120" w:after="120"/>
      </w:pPr>
      <w:r>
        <w:rPr>
          <w:rFonts w:ascii="Arial" w:cs="Arial" w:eastAsia="Arial" w:hAnsi="Arial"/>
          <w:i/>
          <w:iCs/>
          <w:color w:val="777777"/>
          <w:sz w:val="20"/>
          <w:szCs w:val="20"/>
        </w:rPr>
        <w:t xml:space="preserve">[Figure 6: Confusion matrices for all three classifiers — to be generated]</w:t>
      </w:r>
    </w:p>
    <w:p>
      <w:pPr>
        <w:spacing w:before="60" w:after="120"/>
      </w:pPr>
      <w:r>
        <w:rPr>
          <w:rFonts w:ascii="Arial" w:cs="Arial" w:eastAsia="Arial" w:hAnsi="Arial"/>
          <w:i/>
          <w:iCs/>
          <w:color w:val="777777"/>
          <w:sz w:val="20"/>
          <w:szCs w:val="20"/>
        </w:rPr>
        <w:t xml:space="preserve">[Figure 7: ROC curves for all three models]</w:t>
      </w:r>
    </w:p>
    <w:p>
      <w:pPr>
        <w:spacing w:before="60" w:after="120"/>
      </w:pPr>
      <w:r>
        <w:rPr>
          <w:rFonts w:ascii="Arial" w:cs="Arial" w:eastAsia="Arial" w:hAnsi="Arial"/>
          <w:i/>
          <w:iCs/>
          <w:color w:val="777777"/>
          <w:sz w:val="20"/>
          <w:szCs w:val="20"/>
        </w:rPr>
        <w:t xml:space="preserve">[Figure 8: Feature importance plot from Random Forest / Decision Tree visualisation]</w:t>
      </w:r>
    </w:p>
    <w:p>
      <w:pPr>
        <w:spacing w:before="0" w:after="120"/>
      </w:pPr>
      <w:r>
        <w:t xml:space="preserve"/>
      </w:r>
    </w:p>
    <w:p>
      <w:pPr>
        <w:pStyle w:val="Heading2"/>
      </w:pPr>
      <w:r>
        <w:rPr>
          <w:rFonts w:ascii="Arial" w:cs="Arial" w:eastAsia="Arial" w:hAnsi="Arial"/>
          <w:b/>
          <w:bCs/>
          <w:sz w:val="24"/>
          <w:szCs w:val="24"/>
        </w:rPr>
        <w:t xml:space="preserve">3.5 Discussion</w:t>
      </w:r>
    </w:p>
    <w:p>
      <w:pPr>
        <w:spacing w:before="80" w:after="80" w:line="276"/>
        <w:jc w:val="both"/>
      </w:pPr>
      <w:r>
        <w:rPr>
          <w:rFonts w:ascii="Arial" w:cs="Arial" w:eastAsia="Arial" w:hAnsi="Arial"/>
          <w:sz w:val="22"/>
          <w:szCs w:val="22"/>
        </w:rPr>
        <w:t xml:space="preserve">The near-perfect accuracy expected from tree-based models on this dataset is consistent with findings in the established machine learning literature. The feature odor is widely reported as the single most discriminative attribute: all mushrooms with a foul, pungent, creosote, fishy, spicy, or musty odor are poisonous, while those with an almond or anise odor are edible. This makes odor a near-sufficient rule for classification, and it is expected to appear at the root node of the Decision Tree.</w:t>
      </w:r>
    </w:p>
    <w:p>
      <w:pPr>
        <w:spacing w:before="80" w:after="80" w:line="276"/>
        <w:jc w:val="both"/>
      </w:pPr>
      <w:r>
        <w:rPr>
          <w:rFonts w:ascii="Arial" w:cs="Arial" w:eastAsia="Arial" w:hAnsi="Arial"/>
          <w:sz w:val="22"/>
          <w:szCs w:val="22"/>
        </w:rPr>
        <w:t xml:space="preserve">The value of comparing models lies not in identifying the most accurate — which is unsurprising — but in examining the trade-offs between interpretability and complexity. The Decision Tree offers a human-readable rule set that can be directly communicated to a forager: if the mushroom has a foul odor, do not eat it. The Random Forest sacrifices this direct interpretability for marginal gains in accuracy and robustness, which in a field application may be unnecessary.</w:t>
      </w:r>
    </w:p>
    <w:p>
      <w:pPr>
        <w:spacing w:before="80" w:after="80" w:line="276"/>
        <w:jc w:val="both"/>
      </w:pPr>
      <w:r>
        <w:rPr>
          <w:rFonts w:ascii="Arial" w:cs="Arial" w:eastAsia="Arial" w:hAnsi="Arial"/>
          <w:sz w:val="22"/>
          <w:szCs w:val="22"/>
        </w:rPr>
        <w:t xml:space="preserve">The critical evaluation metric in this context is Recall for the poisonous class. Even a single false negative — a poisonous mushroom classified as edible — represents an unacceptable outcome. Models that achieve perfect poisonous-class recall, even at the cost of lower precision (some edible mushrooms classified as poisonous), are preferred in this safety-critical setting. The choice between models should therefore be guided by the consequences of each error type, not just aggregate accuracy.</w:t>
      </w:r>
    </w:p>
    <w:p>
      <w:pPr>
        <w:spacing w:before="0" w:after="120"/>
      </w:pPr>
      <w:r>
        <w:t xml:space="preserve"/>
      </w:r>
    </w:p>
    <w:p>
      <w:pPr>
        <w:pStyle w:val="Heading2"/>
      </w:pPr>
      <w:r>
        <w:rPr>
          <w:rFonts w:ascii="Arial" w:cs="Arial" w:eastAsia="Arial" w:hAnsi="Arial"/>
          <w:b/>
          <w:bCs/>
          <w:sz w:val="24"/>
          <w:szCs w:val="24"/>
        </w:rPr>
        <w:t xml:space="preserve">3.6 Conclusion and Future Work</w:t>
      </w:r>
    </w:p>
    <w:p>
      <w:pPr>
        <w:spacing w:before="80" w:after="80" w:line="276"/>
        <w:jc w:val="both"/>
      </w:pPr>
      <w:r>
        <w:rPr>
          <w:rFonts w:ascii="Arial" w:cs="Arial" w:eastAsia="Arial" w:hAnsi="Arial"/>
          <w:sz w:val="22"/>
          <w:szCs w:val="22"/>
        </w:rPr>
        <w:t xml:space="preserve">This classification analysis demonstrates that morphological features of mushrooms are highly informative predictors of edibility. The strong performance of all three models — and the dominance of a small number of features such as odor and spore-print-color — suggests that a reliable classification system could be built with as few as two or three carefully selected features, which has important implications for practical field guides.</w:t>
      </w:r>
    </w:p>
    <w:p>
      <w:pPr>
        <w:spacing w:before="80" w:after="80" w:line="276"/>
        <w:jc w:val="both"/>
      </w:pPr>
      <w:r>
        <w:rPr>
          <w:rFonts w:ascii="Arial" w:cs="Arial" w:eastAsia="Arial" w:hAnsi="Arial"/>
          <w:sz w:val="22"/>
          <w:szCs w:val="22"/>
        </w:rPr>
        <w:t xml:space="preserve">The comparison of a linear model (Logistic Regression), a single interpretable non-linear model (Decision Tree), and an ensemble method (Random Forest) illustrates the fundamental trade-off in machine learning between predictive accuracy and model interpretability. In high-stakes applications, where a decision must be explainable to the end user, simpler models may be preferable even if marginally less accurate.</w:t>
      </w:r>
    </w:p>
    <w:p>
      <w:pPr>
        <w:spacing w:before="80" w:after="80" w:line="276"/>
        <w:jc w:val="both"/>
      </w:pPr>
      <w:r>
        <w:rPr>
          <w:rFonts w:ascii="Arial" w:cs="Arial" w:eastAsia="Arial" w:hAnsi="Arial"/>
          <w:sz w:val="22"/>
          <w:szCs w:val="22"/>
        </w:rPr>
        <w:t xml:space="preserve">Future work could explore the application of this classification framework to real-world foraging apps using image-based feature extraction, where visual attributes such as cap colour and gill appearance are automatically identified via computer vision. Additionally, incorporating geographic and seasonal information could further improve predictive accuracy by accounting for region-specific species distributions.</w:t>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E5FA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2026-03-10T14:30:41.905Z</dcterms:created>
  <dcterms:modified xsi:type="dcterms:W3CDTF">2026-03-10T14:30:41.905Z</dcterms:modified>
</cp:coreProperties>
</file>

<file path=docProps/custom.xml><?xml version="1.0" encoding="utf-8"?>
<Properties xmlns="http://schemas.openxmlformats.org/officeDocument/2006/custom-properties" xmlns:vt="http://schemas.openxmlformats.org/officeDocument/2006/docPropsVTypes"/>
</file>