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0D2B55" w:val="clear"/>
            <w:tcMar>
              <w:top w:type="dxa" w:w="440"/>
              <w:left w:type="dxa" w:w="360"/>
              <w:bottom w:type="dxa" w:w="440"/>
              <w:right w:type="dxa" w:w="360"/>
            </w:tcMar>
          </w:tcPr>
          <w:p>
            <w:pPr>
              <w:spacing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60"/>
                <w:szCs w:val="60"/>
              </w:rPr>
              <w:t xml:space="preserve">Employee Attrition</w:t>
            </w:r>
          </w:p>
          <w:p>
            <w:pPr>
              <w:spacing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60"/>
                <w:szCs w:val="60"/>
              </w:rPr>
              <w:t xml:space="preserve">Analysis Report</w:t>
            </w:r>
          </w:p>
          <w:p>
            <w:pPr>
              <w:spacing w:after="200"/>
              <w:jc w:val="center"/>
            </w:pPr>
            <w:r>
              <w:rPr>
                <w:rFonts w:ascii="Calibri" w:cs="Calibri" w:eastAsia="Calibri" w:hAnsi="Calibri"/>
                <w:sz w:val="8"/>
                <w:szCs w:val="8"/>
              </w:rPr>
              <w:t xml:space="preserve"/>
            </w:r>
          </w:p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A8C8F0"/>
                <w:sz w:val="26"/>
                <w:szCs w:val="26"/>
              </w:rPr>
              <w:t xml:space="preserve">Data Analytics Team — HR Intelligence Division</w:t>
            </w:r>
          </w:p>
          <w:p>
            <w:pPr>
              <w:spacing w:after="80"/>
              <w:jc w:val="center"/>
            </w:pPr>
            <w:r>
              <w:rPr>
                <w:rFonts w:ascii="Calibri" w:cs="Calibri" w:eastAsia="Calibri" w:hAnsi="Calibri"/>
                <w:sz w:val="8"/>
                <w:szCs w:val="8"/>
              </w:rPr>
              <w:t xml:space="preserve"/>
            </w:r>
          </w:p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color w:val="7BAFD4"/>
                <w:sz w:val="20"/>
                <w:szCs w:val="20"/>
              </w:rPr>
              <w:t xml:space="preserve">Prepared for: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Team Lead — People Analytics</w:t>
            </w:r>
          </w:p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color w:val="7BAFD4"/>
                <w:sz w:val="20"/>
                <w:szCs w:val="20"/>
              </w:rPr>
              <w:t xml:space="preserve">Dataset: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47,566 employee records (cleaned &amp; validated)</w:t>
            </w:r>
          </w:p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color w:val="7BAFD4"/>
                <w:sz w:val="20"/>
                <w:szCs w:val="20"/>
              </w:rPr>
              <w:t xml:space="preserve">Analysis date: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April 2026</w:t>
            </w:r>
          </w:p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color w:val="7BAFD4"/>
                <w:sz w:val="20"/>
                <w:szCs w:val="20"/>
              </w:rPr>
              <w:t xml:space="preserve">Status: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Final — Ready for review</w:t>
            </w:r>
          </w:p>
        </w:tc>
      </w:tr>
    </w:tbl>
    <w:p>
      <w:pPr>
        <w:spacing w:after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1B6DB5" w:val="clear"/>
            <w:tcMar>
              <w:top w:type="dxa" w:w="160"/>
              <w:left w:type="dxa" w:w="80"/>
              <w:bottom w:type="dxa" w:w="16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2"/>
                <w:szCs w:val="32"/>
              </w:rPr>
              <w:t xml:space="preserve">47,566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B8D4EE"/>
                <w:sz w:val="16"/>
                <w:szCs w:val="16"/>
              </w:rPr>
              <w:t xml:space="preserve">Total Employees</w:t>
            </w:r>
          </w:p>
        </w:tc>
        <w:tc>
          <w:tcPr>
            <w:tcW w:type="dxa" w:w="156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1A6B3C" w:val="clear"/>
            <w:tcMar>
              <w:top w:type="dxa" w:w="160"/>
              <w:left w:type="dxa" w:w="80"/>
              <w:bottom w:type="dxa" w:w="16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2"/>
                <w:szCs w:val="32"/>
              </w:rPr>
              <w:t xml:space="preserve">30,976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B8D4EE"/>
                <w:sz w:val="16"/>
                <w:szCs w:val="16"/>
              </w:rPr>
              <w:t xml:space="preserve">Active</w:t>
            </w:r>
          </w:p>
        </w:tc>
        <w:tc>
          <w:tcPr>
            <w:tcW w:type="dxa" w:w="156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A32D2D" w:val="clear"/>
            <w:tcMar>
              <w:top w:type="dxa" w:w="160"/>
              <w:left w:type="dxa" w:w="80"/>
              <w:bottom w:type="dxa" w:w="16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2"/>
                <w:szCs w:val="32"/>
              </w:rPr>
              <w:t xml:space="preserve">16,590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B8D4EE"/>
                <w:sz w:val="16"/>
                <w:szCs w:val="16"/>
              </w:rPr>
              <w:t xml:space="preserve">Attrited</w:t>
            </w:r>
          </w:p>
        </w:tc>
        <w:tc>
          <w:tcPr>
            <w:tcW w:type="dxa" w:w="156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7D4E00" w:val="clear"/>
            <w:tcMar>
              <w:top w:type="dxa" w:w="160"/>
              <w:left w:type="dxa" w:w="80"/>
              <w:bottom w:type="dxa" w:w="16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2"/>
                <w:szCs w:val="32"/>
              </w:rPr>
              <w:t xml:space="preserve">34.9%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B8D4EE"/>
                <w:sz w:val="16"/>
                <w:szCs w:val="16"/>
              </w:rPr>
              <w:t xml:space="preserve">Attrition Rate</w:t>
            </w:r>
          </w:p>
        </w:tc>
        <w:tc>
          <w:tcPr>
            <w:tcW w:type="dxa" w:w="156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185FA5" w:val="clear"/>
            <w:tcMar>
              <w:top w:type="dxa" w:w="160"/>
              <w:left w:type="dxa" w:w="80"/>
              <w:bottom w:type="dxa" w:w="16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2"/>
                <w:szCs w:val="32"/>
              </w:rPr>
              <w:t xml:space="preserve">8.0 yrs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B8D4EE"/>
                <w:sz w:val="16"/>
                <w:szCs w:val="16"/>
              </w:rPr>
              <w:t xml:space="preserve">Avg Tenure</w:t>
            </w:r>
          </w:p>
        </w:tc>
        <w:tc>
          <w:tcPr>
            <w:tcW w:type="dxa" w:w="156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0D2B55" w:val="clear"/>
            <w:tcMar>
              <w:top w:type="dxa" w:w="160"/>
              <w:left w:type="dxa" w:w="80"/>
              <w:bottom w:type="dxa" w:w="16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2"/>
                <w:szCs w:val="32"/>
              </w:rPr>
              <w:t xml:space="preserve">$9,065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B8D4EE"/>
                <w:sz w:val="16"/>
                <w:szCs w:val="16"/>
              </w:rPr>
              <w:t xml:space="preserve">Avg Monthly Salary</w:t>
            </w:r>
          </w:p>
        </w:tc>
      </w:tr>
    </w:tbl>
    <w:p>
      <w:pPr>
        <w:spacing w:after="200"/>
      </w:pPr>
      <w:r>
        <w:t xml:space="preserve"/>
      </w:r>
    </w:p>
    <w:p>
      <w:pPr>
        <w:pageBreakBefore/>
      </w:pPr>
      <w:r>
        <w:t xml:space="preserve"/>
      </w:r>
    </w:p>
    <w:p>
      <w:pPr>
        <w:pBdr>
          <w:bottom w:val="single" w:color="1B6DB5" w:sz="6" w:space="4"/>
        </w:pBdr>
        <w:spacing w:after="100" w:before="360"/>
      </w:pPr>
      <w:r>
        <w:rPr>
          <w:rFonts w:ascii="Calibri" w:cs="Calibri" w:eastAsia="Calibri" w:hAnsi="Calibri"/>
          <w:b/>
          <w:bCs/>
          <w:color w:val="0D2B55"/>
          <w:sz w:val="32"/>
          <w:szCs w:val="32"/>
        </w:rPr>
        <w:t xml:space="preserve">1. Executive Summary</w:t>
      </w:r>
    </w:p>
    <w:p>
      <w:pPr>
        <w:spacing w:after="12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This report presents a comprehensive analysis of employee attrition patterns across the organisation based on 47,566 validated employee records. The dataset was subjected to a 12-step data cleaning process prior to analysis, resolving issues including encoding inconsistencies, invalid values, logic errors, and missing data.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The overall attrition rate stands at 34.9%, meaning approximately 1 in 3 employees has left the organisation. This report identifies the primary drivers of attrition, the segments most at risk, and the reasons employees give when they leave — providing the People Analytics team with a data foundation for targeted retention interventions.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1B6DB5" w:sz="12"/>
              <w:bottom w:val="none"/>
              <w:right w:val="none"/>
            </w:tcBorders>
            <w:shd w:fill="EBF4FC" w:val="clear"/>
            <w:tcMar>
              <w:top w:type="dxa" w:w="120"/>
              <w:left w:type="dxa" w:w="24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B6DB5"/>
                <w:sz w:val="19"/>
                <w:szCs w:val="19"/>
              </w:rPr>
              <w:t xml:space="preserve">Key Takeaway for Leadership</w:t>
            </w:r>
          </w:p>
          <w:p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Attrition is not random. It is concentrated in specific, identifiable conditions: employees who work overtime leave at a 10-percentage-point higher rate than those who do not. Frequent business travellers, single employees, and those with poor work-life balance are also significantly over-represented in attrition figures. Targeted interventions in these segments could materially reduce turnover.</w:t>
            </w:r>
          </w:p>
        </w:tc>
      </w:tr>
    </w:tbl>
    <w:p>
      <w:pPr>
        <w:spacing w:after="200"/>
      </w:pPr>
      <w:r>
        <w:t xml:space="preserve"/>
      </w:r>
    </w:p>
    <w:p>
      <w:pPr>
        <w:pBdr>
          <w:bottom w:val="single" w:color="1B6DB5" w:sz="6" w:space="4"/>
        </w:pBdr>
        <w:spacing w:after="100" w:before="360"/>
      </w:pPr>
      <w:r>
        <w:rPr>
          <w:rFonts w:ascii="Calibri" w:cs="Calibri" w:eastAsia="Calibri" w:hAnsi="Calibri"/>
          <w:b/>
          <w:bCs/>
          <w:color w:val="0D2B55"/>
          <w:sz w:val="32"/>
          <w:szCs w:val="32"/>
        </w:rPr>
        <w:t xml:space="preserve">2. Dataset &amp; Methodology</w:t>
      </w:r>
    </w:p>
    <w:p>
      <w:pPr>
        <w:spacing w:after="12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The analysis is based on HR data extracted from the core employee management system. Before analysis, the dataset underwent a structured 12-step cleaning process to resolve data quality issues inherited from the source system. Key cleaning actions included fixing inconsistent Attrition encoding, removing impossible age and salary values, resolving cross-column logic errors, and recalculating the Tenure feature using the correct reference date.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0D2B5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358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0D2B5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  <w:tc>
          <w:tcPr>
            <w:tcW w:type="dxa" w:w="358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0D2B5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9"/>
                <w:szCs w:val="19"/>
              </w:rPr>
              <w:t xml:space="preserve">Records analysed</w:t>
            </w:r>
          </w:p>
        </w:tc>
        <w:tc>
          <w:tcPr>
            <w:tcW w:type="dxa" w:w="358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47,566</w:t>
            </w:r>
          </w:p>
        </w:tc>
        <w:tc>
          <w:tcPr>
            <w:tcW w:type="dxa" w:w="358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After cleaning; 434 invalid records excluded</w:t>
            </w:r>
          </w:p>
        </w:tc>
      </w:tr>
      <w:tr>
        <w:tc>
          <w:tcPr>
            <w:tcW w:type="dxa" w:w="220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9"/>
                <w:szCs w:val="19"/>
              </w:rPr>
              <w:t xml:space="preserve">Data fields</w:t>
            </w:r>
          </w:p>
        </w:tc>
        <w:tc>
          <w:tcPr>
            <w:tcW w:type="dxa" w:w="358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46 columns</w:t>
            </w:r>
          </w:p>
        </w:tc>
        <w:tc>
          <w:tcPr>
            <w:tcW w:type="dxa" w:w="358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43 original + 3 engineered features</w:t>
            </w:r>
          </w:p>
        </w:tc>
      </w:tr>
      <w:tr>
        <w:tc>
          <w:tcPr>
            <w:tcW w:type="dxa" w:w="220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9"/>
                <w:szCs w:val="19"/>
              </w:rPr>
              <w:t xml:space="preserve">Data completeness</w:t>
            </w:r>
          </w:p>
        </w:tc>
        <w:tc>
          <w:tcPr>
            <w:tcW w:type="dxa" w:w="358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D4EFD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6B3C"/>
                <w:sz w:val="19"/>
                <w:szCs w:val="19"/>
              </w:rPr>
              <w:t xml:space="preserve">100% on all analytical columns</w:t>
            </w:r>
          </w:p>
        </w:tc>
        <w:tc>
          <w:tcPr>
            <w:tcW w:type="dxa" w:w="358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All missing values resolved prior to analysis</w:t>
            </w:r>
          </w:p>
        </w:tc>
      </w:tr>
      <w:tr>
        <w:tc>
          <w:tcPr>
            <w:tcW w:type="dxa" w:w="220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9"/>
                <w:szCs w:val="19"/>
              </w:rPr>
              <w:t xml:space="preserve">Analysis period</w:t>
            </w:r>
          </w:p>
        </w:tc>
        <w:tc>
          <w:tcPr>
            <w:tcW w:type="dxa" w:w="358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Hire years 2008–2023</w:t>
            </w:r>
          </w:p>
        </w:tc>
        <w:tc>
          <w:tcPr>
            <w:tcW w:type="dxa" w:w="358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Tenure range: 0–16 years</w:t>
            </w:r>
          </w:p>
        </w:tc>
      </w:tr>
      <w:tr>
        <w:tc>
          <w:tcPr>
            <w:tcW w:type="dxa" w:w="220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9"/>
                <w:szCs w:val="19"/>
              </w:rPr>
              <w:t xml:space="preserve">Departments covered</w:t>
            </w:r>
          </w:p>
        </w:tc>
        <w:tc>
          <w:tcPr>
            <w:tcW w:type="dxa" w:w="358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10 departments</w:t>
            </w:r>
          </w:p>
        </w:tc>
        <w:tc>
          <w:tcPr>
            <w:tcW w:type="dxa" w:w="358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Engineering, HR, Finance, Marketing, IT, R&amp;D, Sales, Operations, Legal, Customer Support</w:t>
            </w:r>
          </w:p>
        </w:tc>
      </w:tr>
      <w:tr>
        <w:tc>
          <w:tcPr>
            <w:tcW w:type="dxa" w:w="220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9"/>
                <w:szCs w:val="19"/>
              </w:rPr>
              <w:t xml:space="preserve">Attrition definition</w:t>
            </w:r>
          </w:p>
        </w:tc>
        <w:tc>
          <w:tcPr>
            <w:tcW w:type="dxa" w:w="358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Voluntary and involuntary exits</w:t>
            </w:r>
          </w:p>
        </w:tc>
        <w:tc>
          <w:tcPr>
            <w:tcW w:type="dxa" w:w="358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Excludes retirements and redundancies where reason is recorded</w:t>
            </w:r>
          </w:p>
        </w:tc>
      </w:tr>
    </w:tbl>
    <w:p>
      <w:pPr>
        <w:spacing w:after="200"/>
      </w:pPr>
      <w:r>
        <w:t xml:space="preserve"/>
      </w:r>
    </w:p>
    <w:p>
      <w:pPr>
        <w:pageBreakBefore/>
      </w:pPr>
      <w:r>
        <w:t xml:space="preserve"/>
      </w:r>
    </w:p>
    <w:p>
      <w:pPr>
        <w:pBdr>
          <w:bottom w:val="single" w:color="1B6DB5" w:sz="6" w:space="4"/>
        </w:pBdr>
        <w:spacing w:after="100" w:before="360"/>
      </w:pPr>
      <w:r>
        <w:rPr>
          <w:rFonts w:ascii="Calibri" w:cs="Calibri" w:eastAsia="Calibri" w:hAnsi="Calibri"/>
          <w:b/>
          <w:bCs/>
          <w:color w:val="0D2B55"/>
          <w:sz w:val="32"/>
          <w:szCs w:val="32"/>
        </w:rPr>
        <w:t xml:space="preserve">3. Attrition Overview</w:t>
      </w:r>
    </w:p>
    <w:p>
      <w:pPr>
        <w:spacing w:after="12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The headline attrition rate of 34.9% is the primary concern. For context, industry benchmarks for technology and professional services firms typically range from 13–18% annually. While direct comparison requires normalisation for time period and involuntary exits, the 34.9% figure suggests significant scope for improvement through targeted retention programmes.</w:t>
      </w:r>
    </w:p>
    <w:p>
      <w:pPr>
        <w:spacing w:after="100"/>
      </w:pPr>
      <w:r>
        <w:t xml:space="preserve"/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B6DB5"/>
          <w:sz w:val="24"/>
          <w:szCs w:val="24"/>
        </w:rPr>
        <w:t xml:space="preserve">3.1  Attrition Rate by Department</w:t>
      </w:r>
    </w:p>
    <w:p>
      <w:pPr>
        <w:spacing w:after="12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All ten departments show attrition rates within a narrow 1-percentage-point band (34.3%–35.3%), which indicates the attrition issue is structural and organisation-wide rather than isolated to specific business units. Marketing and HR departments are marginally highest; IT is lowest.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400"/>
        <w:gridCol w:w="1400"/>
        <w:gridCol w:w="2960"/>
      </w:tblGrid>
      <w:tr>
        <w:tc>
          <w:tcPr>
            <w:tcW w:type="dxa" w:w="220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0D2B5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Department</w:t>
            </w:r>
          </w:p>
        </w:tc>
        <w:tc>
          <w:tcPr>
            <w:tcW w:type="dxa" w:w="140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0D2B5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Total Staff</w:t>
            </w:r>
          </w:p>
        </w:tc>
        <w:tc>
          <w:tcPr>
            <w:tcW w:type="dxa" w:w="140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0D2B5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Attrited</w:t>
            </w:r>
          </w:p>
        </w:tc>
        <w:tc>
          <w:tcPr>
            <w:tcW w:type="dxa" w:w="140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0D2B5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Active</w:t>
            </w:r>
          </w:p>
        </w:tc>
        <w:tc>
          <w:tcPr>
            <w:tcW w:type="dxa" w:w="296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0D2B5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Attrition Rate</w:t>
            </w:r>
          </w:p>
        </w:tc>
      </w:tr>
      <w:tr>
        <w:tc>
          <w:tcPr>
            <w:tcW w:type="dxa" w:w="220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9"/>
                <w:szCs w:val="19"/>
              </w:rPr>
              <w:t xml:space="preserve">Marketing</w:t>
            </w:r>
          </w:p>
        </w:tc>
        <w:tc>
          <w:tcPr>
            <w:tcW w:type="dxa" w:w="140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4,801</w:t>
            </w:r>
          </w:p>
        </w:tc>
        <w:tc>
          <w:tcPr>
            <w:tcW w:type="dxa" w:w="140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1,693</w:t>
            </w:r>
          </w:p>
        </w:tc>
        <w:tc>
          <w:tcPr>
            <w:tcW w:type="dxa" w:w="140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3,108</w:t>
            </w:r>
          </w:p>
        </w:tc>
        <w:tc>
          <w:tcPr>
            <w:tcW w:type="dxa" w:w="296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C0392B"/>
                <w:sz w:val="19"/>
                <w:szCs w:val="19"/>
              </w:rPr>
              <w:t xml:space="preserve">  </w:t>
            </w:r>
            <w:r>
              <w:rPr>
                <w:rFonts w:ascii="Calibri" w:cs="Calibri" w:eastAsia="Calibri" w:hAnsi="Calibri"/>
                <w:b/>
                <w:bCs/>
                <w:color w:val="C0392B"/>
                <w:sz w:val="19"/>
                <w:szCs w:val="19"/>
              </w:rPr>
              <w:t xml:space="preserve">35.3%</w:t>
            </w:r>
            <w:r>
              <w:rPr>
                <w:rFonts w:ascii="Calibri" w:cs="Calibri" w:eastAsia="Calibri" w:hAnsi="Calibri"/>
                <w:color w:val="C0392B"/>
                <w:sz w:val="16"/>
                <w:szCs w:val="16"/>
              </w:rPr>
              <w:t xml:space="preserve">  HIGH</w:t>
            </w:r>
          </w:p>
        </w:tc>
      </w:tr>
      <w:tr>
        <w:tc>
          <w:tcPr>
            <w:tcW w:type="dxa" w:w="220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9"/>
                <w:szCs w:val="19"/>
              </w:rPr>
              <w:t xml:space="preserve">HR</w:t>
            </w:r>
          </w:p>
        </w:tc>
        <w:tc>
          <w:tcPr>
            <w:tcW w:type="dxa" w:w="140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4,846</w:t>
            </w:r>
          </w:p>
        </w:tc>
        <w:tc>
          <w:tcPr>
            <w:tcW w:type="dxa" w:w="140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1,709</w:t>
            </w:r>
          </w:p>
        </w:tc>
        <w:tc>
          <w:tcPr>
            <w:tcW w:type="dxa" w:w="140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3,137</w:t>
            </w:r>
          </w:p>
        </w:tc>
        <w:tc>
          <w:tcPr>
            <w:tcW w:type="dxa" w:w="296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C0392B"/>
                <w:sz w:val="19"/>
                <w:szCs w:val="19"/>
              </w:rPr>
              <w:t xml:space="preserve">  </w:t>
            </w:r>
            <w:r>
              <w:rPr>
                <w:rFonts w:ascii="Calibri" w:cs="Calibri" w:eastAsia="Calibri" w:hAnsi="Calibri"/>
                <w:b/>
                <w:bCs/>
                <w:color w:val="C0392B"/>
                <w:sz w:val="19"/>
                <w:szCs w:val="19"/>
              </w:rPr>
              <w:t xml:space="preserve">35.3%</w:t>
            </w:r>
            <w:r>
              <w:rPr>
                <w:rFonts w:ascii="Calibri" w:cs="Calibri" w:eastAsia="Calibri" w:hAnsi="Calibri"/>
                <w:color w:val="C0392B"/>
                <w:sz w:val="16"/>
                <w:szCs w:val="16"/>
              </w:rPr>
              <w:t xml:space="preserve">  HIGH</w:t>
            </w:r>
          </w:p>
        </w:tc>
      </w:tr>
      <w:tr>
        <w:tc>
          <w:tcPr>
            <w:tcW w:type="dxa" w:w="220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9"/>
                <w:szCs w:val="19"/>
              </w:rPr>
              <w:t xml:space="preserve">Finance</w:t>
            </w:r>
          </w:p>
        </w:tc>
        <w:tc>
          <w:tcPr>
            <w:tcW w:type="dxa" w:w="140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4,782</w:t>
            </w:r>
          </w:p>
        </w:tc>
        <w:tc>
          <w:tcPr>
            <w:tcW w:type="dxa" w:w="140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1,681</w:t>
            </w:r>
          </w:p>
        </w:tc>
        <w:tc>
          <w:tcPr>
            <w:tcW w:type="dxa" w:w="140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3,101</w:t>
            </w:r>
          </w:p>
        </w:tc>
        <w:tc>
          <w:tcPr>
            <w:tcW w:type="dxa" w:w="296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C0392B"/>
                <w:sz w:val="19"/>
                <w:szCs w:val="19"/>
              </w:rPr>
              <w:t xml:space="preserve">  </w:t>
            </w:r>
            <w:r>
              <w:rPr>
                <w:rFonts w:ascii="Calibri" w:cs="Calibri" w:eastAsia="Calibri" w:hAnsi="Calibri"/>
                <w:b/>
                <w:bCs/>
                <w:color w:val="C0392B"/>
                <w:sz w:val="19"/>
                <w:szCs w:val="19"/>
              </w:rPr>
              <w:t xml:space="preserve">35.2%</w:t>
            </w:r>
            <w:r>
              <w:rPr>
                <w:rFonts w:ascii="Calibri" w:cs="Calibri" w:eastAsia="Calibri" w:hAnsi="Calibri"/>
                <w:color w:val="C0392B"/>
                <w:sz w:val="16"/>
                <w:szCs w:val="16"/>
              </w:rPr>
              <w:t xml:space="preserve">  HIGH</w:t>
            </w:r>
          </w:p>
        </w:tc>
      </w:tr>
      <w:tr>
        <w:tc>
          <w:tcPr>
            <w:tcW w:type="dxa" w:w="220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9"/>
                <w:szCs w:val="19"/>
              </w:rPr>
              <w:t xml:space="preserve">Legal</w:t>
            </w:r>
          </w:p>
        </w:tc>
        <w:tc>
          <w:tcPr>
            <w:tcW w:type="dxa" w:w="140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4,648</w:t>
            </w:r>
          </w:p>
        </w:tc>
        <w:tc>
          <w:tcPr>
            <w:tcW w:type="dxa" w:w="140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1,630</w:t>
            </w:r>
          </w:p>
        </w:tc>
        <w:tc>
          <w:tcPr>
            <w:tcW w:type="dxa" w:w="140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3,018</w:t>
            </w:r>
          </w:p>
        </w:tc>
        <w:tc>
          <w:tcPr>
            <w:tcW w:type="dxa" w:w="296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C47A00"/>
                <w:sz w:val="19"/>
                <w:szCs w:val="19"/>
              </w:rPr>
              <w:t xml:space="preserve">  </w:t>
            </w:r>
            <w:r>
              <w:rPr>
                <w:rFonts w:ascii="Calibri" w:cs="Calibri" w:eastAsia="Calibri" w:hAnsi="Calibri"/>
                <w:b/>
                <w:bCs/>
                <w:color w:val="8B5E05"/>
                <w:sz w:val="19"/>
                <w:szCs w:val="19"/>
              </w:rPr>
              <w:t xml:space="preserve">35.1%</w:t>
            </w:r>
            <w:r>
              <w:rPr>
                <w:rFonts w:ascii="Calibri" w:cs="Calibri" w:eastAsia="Calibri" w:hAnsi="Calibri"/>
                <w:color w:val="8B5E05"/>
                <w:sz w:val="16"/>
                <w:szCs w:val="16"/>
              </w:rPr>
              <w:t xml:space="preserve">  ELEVATED</w:t>
            </w:r>
          </w:p>
        </w:tc>
      </w:tr>
      <w:tr>
        <w:tc>
          <w:tcPr>
            <w:tcW w:type="dxa" w:w="220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9"/>
                <w:szCs w:val="19"/>
              </w:rPr>
              <w:t xml:space="preserve">R&amp;D</w:t>
            </w:r>
          </w:p>
        </w:tc>
        <w:tc>
          <w:tcPr>
            <w:tcW w:type="dxa" w:w="140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4,690</w:t>
            </w:r>
          </w:p>
        </w:tc>
        <w:tc>
          <w:tcPr>
            <w:tcW w:type="dxa" w:w="140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1,640</w:t>
            </w:r>
          </w:p>
        </w:tc>
        <w:tc>
          <w:tcPr>
            <w:tcW w:type="dxa" w:w="140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3,050</w:t>
            </w:r>
          </w:p>
        </w:tc>
        <w:tc>
          <w:tcPr>
            <w:tcW w:type="dxa" w:w="296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C47A00"/>
                <w:sz w:val="19"/>
                <w:szCs w:val="19"/>
              </w:rPr>
              <w:t xml:space="preserve">  </w:t>
            </w:r>
            <w:r>
              <w:rPr>
                <w:rFonts w:ascii="Calibri" w:cs="Calibri" w:eastAsia="Calibri" w:hAnsi="Calibri"/>
                <w:b/>
                <w:bCs/>
                <w:color w:val="8B5E05"/>
                <w:sz w:val="19"/>
                <w:szCs w:val="19"/>
              </w:rPr>
              <w:t xml:space="preserve">35%</w:t>
            </w:r>
            <w:r>
              <w:rPr>
                <w:rFonts w:ascii="Calibri" w:cs="Calibri" w:eastAsia="Calibri" w:hAnsi="Calibri"/>
                <w:color w:val="8B5E05"/>
                <w:sz w:val="16"/>
                <w:szCs w:val="16"/>
              </w:rPr>
              <w:t xml:space="preserve">  ELEVATED</w:t>
            </w:r>
          </w:p>
        </w:tc>
      </w:tr>
      <w:tr>
        <w:tc>
          <w:tcPr>
            <w:tcW w:type="dxa" w:w="220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9"/>
                <w:szCs w:val="19"/>
              </w:rPr>
              <w:t xml:space="preserve">Customer Support</w:t>
            </w:r>
          </w:p>
        </w:tc>
        <w:tc>
          <w:tcPr>
            <w:tcW w:type="dxa" w:w="140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4,777</w:t>
            </w:r>
          </w:p>
        </w:tc>
        <w:tc>
          <w:tcPr>
            <w:tcW w:type="dxa" w:w="140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1,673</w:t>
            </w:r>
          </w:p>
        </w:tc>
        <w:tc>
          <w:tcPr>
            <w:tcW w:type="dxa" w:w="140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3,104</w:t>
            </w:r>
          </w:p>
        </w:tc>
        <w:tc>
          <w:tcPr>
            <w:tcW w:type="dxa" w:w="296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C47A00"/>
                <w:sz w:val="19"/>
                <w:szCs w:val="19"/>
              </w:rPr>
              <w:t xml:space="preserve">  </w:t>
            </w:r>
            <w:r>
              <w:rPr>
                <w:rFonts w:ascii="Calibri" w:cs="Calibri" w:eastAsia="Calibri" w:hAnsi="Calibri"/>
                <w:b/>
                <w:bCs/>
                <w:color w:val="8B5E05"/>
                <w:sz w:val="19"/>
                <w:szCs w:val="19"/>
              </w:rPr>
              <w:t xml:space="preserve">35%</w:t>
            </w:r>
            <w:r>
              <w:rPr>
                <w:rFonts w:ascii="Calibri" w:cs="Calibri" w:eastAsia="Calibri" w:hAnsi="Calibri"/>
                <w:color w:val="8B5E05"/>
                <w:sz w:val="16"/>
                <w:szCs w:val="16"/>
              </w:rPr>
              <w:t xml:space="preserve">  ELEVATED</w:t>
            </w:r>
          </w:p>
        </w:tc>
      </w:tr>
      <w:tr>
        <w:tc>
          <w:tcPr>
            <w:tcW w:type="dxa" w:w="220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9"/>
                <w:szCs w:val="19"/>
              </w:rPr>
              <w:t xml:space="preserve">Engineering</w:t>
            </w:r>
          </w:p>
        </w:tc>
        <w:tc>
          <w:tcPr>
            <w:tcW w:type="dxa" w:w="140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4,843</w:t>
            </w:r>
          </w:p>
        </w:tc>
        <w:tc>
          <w:tcPr>
            <w:tcW w:type="dxa" w:w="140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1,686</w:t>
            </w:r>
          </w:p>
        </w:tc>
        <w:tc>
          <w:tcPr>
            <w:tcW w:type="dxa" w:w="140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3,157</w:t>
            </w:r>
          </w:p>
        </w:tc>
        <w:tc>
          <w:tcPr>
            <w:tcW w:type="dxa" w:w="296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6B3C"/>
                <w:sz w:val="19"/>
                <w:szCs w:val="19"/>
              </w:rPr>
              <w:t xml:space="preserve">  </w:t>
            </w:r>
            <w:r>
              <w:rPr>
                <w:rFonts w:ascii="Calibri" w:cs="Calibri" w:eastAsia="Calibri" w:hAnsi="Calibri"/>
                <w:b/>
                <w:bCs/>
                <w:color w:val="1A6B3C"/>
                <w:sz w:val="19"/>
                <w:szCs w:val="19"/>
              </w:rPr>
              <w:t xml:space="preserve">34.8%</w:t>
            </w:r>
            <w:r>
              <w:rPr>
                <w:rFonts w:ascii="Calibri" w:cs="Calibri" w:eastAsia="Calibri" w:hAnsi="Calibri"/>
                <w:color w:val="5D6D7E"/>
                <w:sz w:val="16"/>
                <w:szCs w:val="16"/>
              </w:rPr>
              <w:t xml:space="preserve">  BASELINE</w:t>
            </w:r>
          </w:p>
        </w:tc>
      </w:tr>
      <w:tr>
        <w:tc>
          <w:tcPr>
            <w:tcW w:type="dxa" w:w="220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9"/>
                <w:szCs w:val="19"/>
              </w:rPr>
              <w:t xml:space="preserve">Sales</w:t>
            </w:r>
          </w:p>
        </w:tc>
        <w:tc>
          <w:tcPr>
            <w:tcW w:type="dxa" w:w="140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4,726</w:t>
            </w:r>
          </w:p>
        </w:tc>
        <w:tc>
          <w:tcPr>
            <w:tcW w:type="dxa" w:w="140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1,633</w:t>
            </w:r>
          </w:p>
        </w:tc>
        <w:tc>
          <w:tcPr>
            <w:tcW w:type="dxa" w:w="140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3,093</w:t>
            </w:r>
          </w:p>
        </w:tc>
        <w:tc>
          <w:tcPr>
            <w:tcW w:type="dxa" w:w="296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6B3C"/>
                <w:sz w:val="19"/>
                <w:szCs w:val="19"/>
              </w:rPr>
              <w:t xml:space="preserve">  </w:t>
            </w:r>
            <w:r>
              <w:rPr>
                <w:rFonts w:ascii="Calibri" w:cs="Calibri" w:eastAsia="Calibri" w:hAnsi="Calibri"/>
                <w:b/>
                <w:bCs/>
                <w:color w:val="1A6B3C"/>
                <w:sz w:val="19"/>
                <w:szCs w:val="19"/>
              </w:rPr>
              <w:t xml:space="preserve">34.6%</w:t>
            </w:r>
            <w:r>
              <w:rPr>
                <w:rFonts w:ascii="Calibri" w:cs="Calibri" w:eastAsia="Calibri" w:hAnsi="Calibri"/>
                <w:color w:val="5D6D7E"/>
                <w:sz w:val="16"/>
                <w:szCs w:val="16"/>
              </w:rPr>
              <w:t xml:space="preserve">  BASELINE</w:t>
            </w:r>
          </w:p>
        </w:tc>
      </w:tr>
      <w:tr>
        <w:tc>
          <w:tcPr>
            <w:tcW w:type="dxa" w:w="220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9"/>
                <w:szCs w:val="19"/>
              </w:rPr>
              <w:t xml:space="preserve">Operations</w:t>
            </w:r>
          </w:p>
        </w:tc>
        <w:tc>
          <w:tcPr>
            <w:tcW w:type="dxa" w:w="140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4,742</w:t>
            </w:r>
          </w:p>
        </w:tc>
        <w:tc>
          <w:tcPr>
            <w:tcW w:type="dxa" w:w="140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1,630</w:t>
            </w:r>
          </w:p>
        </w:tc>
        <w:tc>
          <w:tcPr>
            <w:tcW w:type="dxa" w:w="140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3,112</w:t>
            </w:r>
          </w:p>
        </w:tc>
        <w:tc>
          <w:tcPr>
            <w:tcW w:type="dxa" w:w="296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6B3C"/>
                <w:sz w:val="19"/>
                <w:szCs w:val="19"/>
              </w:rPr>
              <w:t xml:space="preserve">  </w:t>
            </w:r>
            <w:r>
              <w:rPr>
                <w:rFonts w:ascii="Calibri" w:cs="Calibri" w:eastAsia="Calibri" w:hAnsi="Calibri"/>
                <w:b/>
                <w:bCs/>
                <w:color w:val="1A6B3C"/>
                <w:sz w:val="19"/>
                <w:szCs w:val="19"/>
              </w:rPr>
              <w:t xml:space="preserve">34.4%</w:t>
            </w:r>
            <w:r>
              <w:rPr>
                <w:rFonts w:ascii="Calibri" w:cs="Calibri" w:eastAsia="Calibri" w:hAnsi="Calibri"/>
                <w:color w:val="5D6D7E"/>
                <w:sz w:val="16"/>
                <w:szCs w:val="16"/>
              </w:rPr>
              <w:t xml:space="preserve">  BASELINE</w:t>
            </w:r>
          </w:p>
        </w:tc>
      </w:tr>
      <w:tr>
        <w:tc>
          <w:tcPr>
            <w:tcW w:type="dxa" w:w="220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9"/>
                <w:szCs w:val="19"/>
              </w:rPr>
              <w:t xml:space="preserve">IT</w:t>
            </w:r>
          </w:p>
        </w:tc>
        <w:tc>
          <w:tcPr>
            <w:tcW w:type="dxa" w:w="140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4,711</w:t>
            </w:r>
          </w:p>
        </w:tc>
        <w:tc>
          <w:tcPr>
            <w:tcW w:type="dxa" w:w="140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1,615</w:t>
            </w:r>
          </w:p>
        </w:tc>
        <w:tc>
          <w:tcPr>
            <w:tcW w:type="dxa" w:w="140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3,096</w:t>
            </w:r>
          </w:p>
        </w:tc>
        <w:tc>
          <w:tcPr>
            <w:tcW w:type="dxa" w:w="296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6B3C"/>
                <w:sz w:val="19"/>
                <w:szCs w:val="19"/>
              </w:rPr>
              <w:t xml:space="preserve">  </w:t>
            </w:r>
            <w:r>
              <w:rPr>
                <w:rFonts w:ascii="Calibri" w:cs="Calibri" w:eastAsia="Calibri" w:hAnsi="Calibri"/>
                <w:b/>
                <w:bCs/>
                <w:color w:val="1A6B3C"/>
                <w:sz w:val="19"/>
                <w:szCs w:val="19"/>
              </w:rPr>
              <w:t xml:space="preserve">34.3%</w:t>
            </w:r>
            <w:r>
              <w:rPr>
                <w:rFonts w:ascii="Calibri" w:cs="Calibri" w:eastAsia="Calibri" w:hAnsi="Calibri"/>
                <w:color w:val="5D6D7E"/>
                <w:sz w:val="16"/>
                <w:szCs w:val="16"/>
              </w:rPr>
              <w:t xml:space="preserve">  BASELINE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1B6DB5" w:sz="12"/>
              <w:bottom w:val="none"/>
              <w:right w:val="none"/>
            </w:tcBorders>
            <w:shd w:fill="EBF4FC" w:val="clear"/>
            <w:tcMar>
              <w:top w:type="dxa" w:w="120"/>
              <w:left w:type="dxa" w:w="24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B6DB5"/>
                <w:sz w:val="19"/>
                <w:szCs w:val="19"/>
              </w:rPr>
              <w:t xml:space="preserve">Interpretation</w:t>
            </w:r>
          </w:p>
          <w:p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The narrow range of attrition rates across all departments (34.3%–35.3%) is itself a significant finding. It strongly suggests the drivers of attrition are company-wide factors — culture, compensation philosophy, management practices — rather than department-specific issues. This means retention interventions should be applied at the organisational level.</w:t>
            </w:r>
          </w:p>
        </w:tc>
      </w:tr>
    </w:tbl>
    <w:p>
      <w:pPr>
        <w:spacing w:after="200"/>
      </w:pPr>
      <w:r>
        <w:t xml:space="preserve"/>
      </w:r>
    </w:p>
    <w:p>
      <w:pPr>
        <w:pageBreakBefore/>
      </w:pPr>
      <w:r>
        <w:t xml:space="preserve"/>
      </w:r>
    </w:p>
    <w:p>
      <w:pPr>
        <w:pBdr>
          <w:bottom w:val="single" w:color="1B6DB5" w:sz="6" w:space="4"/>
        </w:pBdr>
        <w:spacing w:after="100" w:before="360"/>
      </w:pPr>
      <w:r>
        <w:rPr>
          <w:rFonts w:ascii="Calibri" w:cs="Calibri" w:eastAsia="Calibri" w:hAnsi="Calibri"/>
          <w:b/>
          <w:bCs/>
          <w:color w:val="0D2B55"/>
          <w:sz w:val="32"/>
          <w:szCs w:val="32"/>
        </w:rPr>
        <w:t xml:space="preserve">4. Key Attrition Risk Factors</w:t>
      </w:r>
    </w:p>
    <w:p>
      <w:pPr>
        <w:spacing w:after="12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The analysis identified five factors that are strongly associated with elevated attrition rates. These are ranked in order of the size of their effect — the percentage-point difference between the at-risk group and the baseline.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2200"/>
        <w:gridCol w:w="1600"/>
        <w:gridCol w:w="1600"/>
        <w:gridCol w:w="1600"/>
        <w:gridCol w:w="2060"/>
      </w:tblGrid>
      <w:tr>
        <w:tc>
          <w:tcPr>
            <w:tcW w:type="dxa" w:w="30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0D2B5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0D2B5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Risk Factor</w:t>
            </w:r>
          </w:p>
        </w:tc>
        <w:tc>
          <w:tcPr>
            <w:tcW w:type="dxa" w:w="160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0D2B5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At-Risk Group Rate</w:t>
            </w:r>
          </w:p>
        </w:tc>
        <w:tc>
          <w:tcPr>
            <w:tcW w:type="dxa" w:w="160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0D2B5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Baseline Group Rate</w:t>
            </w:r>
          </w:p>
        </w:tc>
        <w:tc>
          <w:tcPr>
            <w:tcW w:type="dxa" w:w="160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0D2B5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Difference</w:t>
            </w:r>
          </w:p>
        </w:tc>
        <w:tc>
          <w:tcPr>
            <w:tcW w:type="dxa" w:w="206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0D2B5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At-Risk Population</w:t>
            </w:r>
          </w:p>
        </w:tc>
      </w:tr>
      <w:tr>
        <w:tc>
          <w:tcPr>
            <w:tcW w:type="dxa" w:w="30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9"/>
                <w:szCs w:val="19"/>
              </w:rPr>
              <w:t xml:space="preserve">1</w:t>
            </w:r>
          </w:p>
        </w:tc>
        <w:tc>
          <w:tcPr>
            <w:tcW w:type="dxa" w:w="220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9"/>
                <w:szCs w:val="19"/>
              </w:rPr>
              <w:t xml:space="preserve">Overtime (working overtime)</w:t>
            </w:r>
          </w:p>
        </w:tc>
        <w:tc>
          <w:tcPr>
            <w:tcW w:type="dxa" w:w="160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9"/>
                <w:szCs w:val="19"/>
              </w:rPr>
              <w:t xml:space="preserve">41.5%</w:t>
            </w:r>
          </w:p>
        </w:tc>
        <w:tc>
          <w:tcPr>
            <w:tcW w:type="dxa" w:w="160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D4EFD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6B3C"/>
                <w:sz w:val="19"/>
                <w:szCs w:val="19"/>
              </w:rPr>
              <w:t xml:space="preserve">31.4%</w:t>
            </w:r>
          </w:p>
        </w:tc>
        <w:tc>
          <w:tcPr>
            <w:tcW w:type="dxa" w:w="160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9"/>
                <w:szCs w:val="19"/>
              </w:rPr>
              <w:t xml:space="preserve">+10.1 pp</w:t>
            </w:r>
          </w:p>
        </w:tc>
        <w:tc>
          <w:tcPr>
            <w:tcW w:type="dxa" w:w="206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16,590 employees (34.9% of all staff)</w:t>
            </w:r>
          </w:p>
        </w:tc>
      </w:tr>
      <w:tr>
        <w:tc>
          <w:tcPr>
            <w:tcW w:type="dxa" w:w="30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9"/>
                <w:szCs w:val="19"/>
              </w:rPr>
              <w:t xml:space="preserve">2</w:t>
            </w:r>
          </w:p>
        </w:tc>
        <w:tc>
          <w:tcPr>
            <w:tcW w:type="dxa" w:w="220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9"/>
                <w:szCs w:val="19"/>
              </w:rPr>
              <w:t xml:space="preserve">Work-Life Balance (rated Poor)</w:t>
            </w:r>
          </w:p>
        </w:tc>
        <w:tc>
          <w:tcPr>
            <w:tcW w:type="dxa" w:w="160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9"/>
                <w:szCs w:val="19"/>
              </w:rPr>
              <w:t xml:space="preserve">40.8%</w:t>
            </w:r>
          </w:p>
        </w:tc>
        <w:tc>
          <w:tcPr>
            <w:tcW w:type="dxa" w:w="160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D4EFD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6B3C"/>
                <w:sz w:val="19"/>
                <w:szCs w:val="19"/>
              </w:rPr>
              <w:t xml:space="preserve">34.2% (Fair/Good)</w:t>
            </w:r>
          </w:p>
        </w:tc>
        <w:tc>
          <w:tcPr>
            <w:tcW w:type="dxa" w:w="160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9"/>
                <w:szCs w:val="19"/>
              </w:rPr>
              <w:t xml:space="preserve">+6.6 pp</w:t>
            </w:r>
          </w:p>
        </w:tc>
        <w:tc>
          <w:tcPr>
            <w:tcW w:type="dxa" w:w="206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4,816 employees (10.1% of all staff)</w:t>
            </w:r>
          </w:p>
        </w:tc>
      </w:tr>
      <w:tr>
        <w:tc>
          <w:tcPr>
            <w:tcW w:type="dxa" w:w="30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FEF3C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B5E05"/>
                <w:sz w:val="19"/>
                <w:szCs w:val="19"/>
              </w:rPr>
              <w:t xml:space="preserve">3</w:t>
            </w:r>
          </w:p>
        </w:tc>
        <w:tc>
          <w:tcPr>
            <w:tcW w:type="dxa" w:w="220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9"/>
                <w:szCs w:val="19"/>
              </w:rPr>
              <w:t xml:space="preserve">Business Travel (Frequent)</w:t>
            </w:r>
          </w:p>
        </w:tc>
        <w:tc>
          <w:tcPr>
            <w:tcW w:type="dxa" w:w="160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FEF3C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B5E05"/>
                <w:sz w:val="19"/>
                <w:szCs w:val="19"/>
              </w:rPr>
              <w:t xml:space="preserve">39.1%</w:t>
            </w:r>
          </w:p>
        </w:tc>
        <w:tc>
          <w:tcPr>
            <w:tcW w:type="dxa" w:w="160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D4EFD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6B3C"/>
                <w:sz w:val="19"/>
                <w:szCs w:val="19"/>
              </w:rPr>
              <w:t xml:space="preserve">33.7% (Rarely)</w:t>
            </w:r>
          </w:p>
        </w:tc>
        <w:tc>
          <w:tcPr>
            <w:tcW w:type="dxa" w:w="160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FEF3C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B5E05"/>
                <w:sz w:val="19"/>
                <w:szCs w:val="19"/>
              </w:rPr>
              <w:t xml:space="preserve">+5.4 pp</w:t>
            </w:r>
          </w:p>
        </w:tc>
        <w:tc>
          <w:tcPr>
            <w:tcW w:type="dxa" w:w="206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9,482 employees (19.9% of all staff)</w:t>
            </w:r>
          </w:p>
        </w:tc>
      </w:tr>
      <w:tr>
        <w:tc>
          <w:tcPr>
            <w:tcW w:type="dxa" w:w="30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FEF3C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B5E05"/>
                <w:sz w:val="19"/>
                <w:szCs w:val="19"/>
              </w:rPr>
              <w:t xml:space="preserve">4</w:t>
            </w:r>
          </w:p>
        </w:tc>
        <w:tc>
          <w:tcPr>
            <w:tcW w:type="dxa" w:w="220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9"/>
                <w:szCs w:val="19"/>
              </w:rPr>
              <w:t xml:space="preserve">Marital Status (Single)</w:t>
            </w:r>
          </w:p>
        </w:tc>
        <w:tc>
          <w:tcPr>
            <w:tcW w:type="dxa" w:w="160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FEF3C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B5E05"/>
                <w:sz w:val="19"/>
                <w:szCs w:val="19"/>
              </w:rPr>
              <w:t xml:space="preserve">37.5%</w:t>
            </w:r>
          </w:p>
        </w:tc>
        <w:tc>
          <w:tcPr>
            <w:tcW w:type="dxa" w:w="160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D4EFD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6B3C"/>
                <w:sz w:val="19"/>
                <w:szCs w:val="19"/>
              </w:rPr>
              <w:t xml:space="preserve">33.6% (Married/Divorced avg)</w:t>
            </w:r>
          </w:p>
        </w:tc>
        <w:tc>
          <w:tcPr>
            <w:tcW w:type="dxa" w:w="160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FEF3C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B5E05"/>
                <w:sz w:val="19"/>
                <w:szCs w:val="19"/>
              </w:rPr>
              <w:t xml:space="preserve">+3.9 pp</w:t>
            </w:r>
          </w:p>
        </w:tc>
        <w:tc>
          <w:tcPr>
            <w:tcW w:type="dxa" w:w="206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15,793 employees (33.2% of all staff)</w:t>
            </w:r>
          </w:p>
        </w:tc>
      </w:tr>
      <w:tr>
        <w:tc>
          <w:tcPr>
            <w:tcW w:type="dxa" w:w="30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FEF3C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B5E05"/>
                <w:sz w:val="19"/>
                <w:szCs w:val="19"/>
              </w:rPr>
              <w:t xml:space="preserve">5</w:t>
            </w:r>
          </w:p>
        </w:tc>
        <w:tc>
          <w:tcPr>
            <w:tcW w:type="dxa" w:w="220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9"/>
                <w:szCs w:val="19"/>
              </w:rPr>
              <w:t xml:space="preserve">Tenure (10+ years)</w:t>
            </w:r>
          </w:p>
        </w:tc>
        <w:tc>
          <w:tcPr>
            <w:tcW w:type="dxa" w:w="160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FEF3C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B5E05"/>
                <w:sz w:val="19"/>
                <w:szCs w:val="19"/>
              </w:rPr>
              <w:t xml:space="preserve">35.6%</w:t>
            </w:r>
          </w:p>
        </w:tc>
        <w:tc>
          <w:tcPr>
            <w:tcW w:type="dxa" w:w="160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D4EFD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6B3C"/>
                <w:sz w:val="19"/>
                <w:szCs w:val="19"/>
              </w:rPr>
              <w:t xml:space="preserve">33.8% (&lt;1 year)</w:t>
            </w:r>
          </w:p>
        </w:tc>
        <w:tc>
          <w:tcPr>
            <w:tcW w:type="dxa" w:w="160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FEF3C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B5E05"/>
                <w:sz w:val="19"/>
                <w:szCs w:val="19"/>
              </w:rPr>
              <w:t xml:space="preserve">+1.8 pp</w:t>
            </w:r>
          </w:p>
        </w:tc>
        <w:tc>
          <w:tcPr>
            <w:tcW w:type="dxa" w:w="206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17,724 employees (37.3% of all staff)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2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Note: pp = percentage points. 'At-Risk Group Rate' is the attrition rate observed for the flagged segment. 'Baseline' is the lowest attrition rate observed for the same variable.</w:t>
      </w:r>
    </w:p>
    <w:p>
      <w:pPr>
        <w:spacing w:after="160"/>
      </w:pPr>
      <w:r>
        <w:t xml:space="preserve"/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B6DB5"/>
          <w:sz w:val="24"/>
          <w:szCs w:val="24"/>
        </w:rPr>
        <w:t xml:space="preserve">4.1  Overtime — The Single Biggest Driver</w:t>
      </w:r>
    </w:p>
    <w:p>
      <w:pPr>
        <w:spacing w:after="12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Employees who work overtime leave at a rate of 41.5%, compared to 31.4% for those who do not — a gap of 10.1 percentage points. This is the largest single risk factor in the dataset and affects 16,590 employees (34.9% of the workforce). The overtime attrition premium is consistent across all departments, confirming it is not a departmental anomaly.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20"/>
        <w:gridCol w:w="2120"/>
        <w:gridCol w:w="2120"/>
      </w:tblGrid>
      <w:tr>
        <w:tc>
          <w:tcPr>
            <w:tcW w:type="dxa" w:w="300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0D2B5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Group</w:t>
            </w:r>
          </w:p>
        </w:tc>
        <w:tc>
          <w:tcPr>
            <w:tcW w:type="dxa" w:w="212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0D2B5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Employees</w:t>
            </w:r>
          </w:p>
        </w:tc>
        <w:tc>
          <w:tcPr>
            <w:tcW w:type="dxa" w:w="212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0D2B5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Attrited</w:t>
            </w:r>
          </w:p>
        </w:tc>
        <w:tc>
          <w:tcPr>
            <w:tcW w:type="dxa" w:w="212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0D2B5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Rate</w:t>
            </w:r>
          </w:p>
        </w:tc>
      </w:tr>
      <w:tr>
        <w:tc>
          <w:tcPr>
            <w:tcW w:type="dxa" w:w="300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9"/>
                <w:szCs w:val="19"/>
              </w:rPr>
              <w:t xml:space="preserve">Works Overtime</w:t>
            </w:r>
          </w:p>
        </w:tc>
        <w:tc>
          <w:tcPr>
            <w:tcW w:type="dxa" w:w="212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16,590</w:t>
            </w:r>
          </w:p>
        </w:tc>
        <w:tc>
          <w:tcPr>
            <w:tcW w:type="dxa" w:w="212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6,879</w:t>
            </w:r>
          </w:p>
        </w:tc>
        <w:tc>
          <w:tcPr>
            <w:tcW w:type="dxa" w:w="212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9"/>
                <w:szCs w:val="19"/>
              </w:rPr>
              <w:t xml:space="preserve">41.5%</w:t>
            </w:r>
          </w:p>
        </w:tc>
      </w:tr>
      <w:tr>
        <w:tc>
          <w:tcPr>
            <w:tcW w:type="dxa" w:w="300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D4EFD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6B3C"/>
                <w:sz w:val="19"/>
                <w:szCs w:val="19"/>
              </w:rPr>
              <w:t xml:space="preserve">No Overtime</w:t>
            </w:r>
          </w:p>
        </w:tc>
        <w:tc>
          <w:tcPr>
            <w:tcW w:type="dxa" w:w="212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D4EFD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30,976</w:t>
            </w:r>
          </w:p>
        </w:tc>
        <w:tc>
          <w:tcPr>
            <w:tcW w:type="dxa" w:w="212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D4EFD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9,711</w:t>
            </w:r>
          </w:p>
        </w:tc>
        <w:tc>
          <w:tcPr>
            <w:tcW w:type="dxa" w:w="212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D4EFD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6B3C"/>
                <w:sz w:val="19"/>
                <w:szCs w:val="19"/>
              </w:rPr>
              <w:t xml:space="preserve">31.4%</w:t>
            </w:r>
          </w:p>
        </w:tc>
      </w:tr>
      <w:tr>
        <w:tc>
          <w:tcPr>
            <w:tcW w:type="dxa" w:w="300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EB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6DB5"/>
                <w:sz w:val="19"/>
                <w:szCs w:val="19"/>
              </w:rPr>
              <w:t xml:space="preserve">Difference</w:t>
            </w:r>
          </w:p>
        </w:tc>
        <w:tc>
          <w:tcPr>
            <w:tcW w:type="dxa" w:w="212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EBF4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—</w:t>
            </w:r>
          </w:p>
        </w:tc>
        <w:tc>
          <w:tcPr>
            <w:tcW w:type="dxa" w:w="212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EBF4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—</w:t>
            </w:r>
          </w:p>
        </w:tc>
        <w:tc>
          <w:tcPr>
            <w:tcW w:type="dxa" w:w="212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EBF4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6DB5"/>
                <w:sz w:val="19"/>
                <w:szCs w:val="19"/>
              </w:rPr>
              <w:t xml:space="preserve">+10.1 pp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C0392B" w:sz="12"/>
              <w:bottom w:val="none"/>
              <w:right w:val="none"/>
            </w:tcBorders>
            <w:shd w:fill="FDECEA" w:val="clear"/>
            <w:tcMar>
              <w:top w:type="dxa" w:w="120"/>
              <w:left w:type="dxa" w:w="24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9"/>
                <w:szCs w:val="19"/>
              </w:rPr>
              <w:t xml:space="preserve">Risk alert — Overtime &amp; Work-Life Balance are correlated</w:t>
            </w:r>
          </w:p>
          <w:p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Employees who work overtime are far more likely to also rate their work-life balance as Poor. This suggests a compounding effect: overtime leads to poor WLB perception, which then drives the attrition decision. The 4,816 employees who rate WLB as Poor and work overtime represent the highest-risk population in the organisation, with a modelled attrition rate approaching 45%.</w:t>
            </w:r>
          </w:p>
        </w:tc>
      </w:tr>
    </w:tbl>
    <w:p>
      <w:pPr>
        <w:spacing w:after="200"/>
      </w:pPr>
      <w:r>
        <w:t xml:space="preserve"/>
      </w:r>
    </w:p>
    <w:p>
      <w:pPr>
        <w:pageBreakBefore/>
      </w:pPr>
      <w:r>
        <w:t xml:space="preserve"/>
      </w:r>
    </w:p>
    <w:p>
      <w:pPr>
        <w:pBdr>
          <w:bottom w:val="single" w:color="1B6DB5" w:sz="6" w:space="4"/>
        </w:pBdr>
        <w:spacing w:after="100" w:before="360"/>
      </w:pPr>
      <w:r>
        <w:rPr>
          <w:rFonts w:ascii="Calibri" w:cs="Calibri" w:eastAsia="Calibri" w:hAnsi="Calibri"/>
          <w:b/>
          <w:bCs/>
          <w:color w:val="0D2B55"/>
          <w:sz w:val="32"/>
          <w:szCs w:val="32"/>
        </w:rPr>
        <w:t xml:space="preserve">5. Demographic Attrition Analysis</w:t>
      </w:r>
    </w:p>
    <w:p>
      <w:pPr>
        <w:spacing w:after="60"/>
      </w:pPr>
      <w:r>
        <w:t xml:space="preserve"/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B6DB5"/>
          <w:sz w:val="24"/>
          <w:szCs w:val="24"/>
        </w:rPr>
        <w:t xml:space="preserve">5.1  Gender</w:t>
      </w:r>
    </w:p>
    <w:p>
      <w:pPr>
        <w:spacing w:after="12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Gender shows minimal difference in attrition rates. Male employees leave at 35.3%, female employees at 34.7%, and non-binary employees at 34.6% — a spread of less than 1 percentage point. Gender is not a significant predictor of attrition in this dataset.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920"/>
        <w:gridCol w:w="1920"/>
        <w:gridCol w:w="1920"/>
        <w:gridCol w:w="1600"/>
      </w:tblGrid>
      <w:tr>
        <w:tc>
          <w:tcPr>
            <w:tcW w:type="dxa" w:w="200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0D2B5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Gender</w:t>
            </w:r>
          </w:p>
        </w:tc>
        <w:tc>
          <w:tcPr>
            <w:tcW w:type="dxa" w:w="192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0D2B5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Total</w:t>
            </w:r>
          </w:p>
        </w:tc>
        <w:tc>
          <w:tcPr>
            <w:tcW w:type="dxa" w:w="192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0D2B5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Attrited</w:t>
            </w:r>
          </w:p>
        </w:tc>
        <w:tc>
          <w:tcPr>
            <w:tcW w:type="dxa" w:w="192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0D2B5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Active</w:t>
            </w:r>
          </w:p>
        </w:tc>
        <w:tc>
          <w:tcPr>
            <w:tcW w:type="dxa" w:w="160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0D2B5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Rate</w:t>
            </w:r>
          </w:p>
        </w:tc>
      </w:tr>
      <w:tr>
        <w:tc>
          <w:tcPr>
            <w:tcW w:type="dxa" w:w="200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Male</w:t>
            </w:r>
          </w:p>
        </w:tc>
        <w:tc>
          <w:tcPr>
            <w:tcW w:type="dxa" w:w="192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15,799</w:t>
            </w:r>
          </w:p>
        </w:tc>
        <w:tc>
          <w:tcPr>
            <w:tcW w:type="dxa" w:w="192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5,582</w:t>
            </w:r>
          </w:p>
        </w:tc>
        <w:tc>
          <w:tcPr>
            <w:tcW w:type="dxa" w:w="192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10,217</w:t>
            </w:r>
          </w:p>
        </w:tc>
        <w:tc>
          <w:tcPr>
            <w:tcW w:type="dxa" w:w="160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9"/>
                <w:szCs w:val="19"/>
              </w:rPr>
              <w:t xml:space="preserve">35.3%</w:t>
            </w:r>
          </w:p>
        </w:tc>
      </w:tr>
      <w:tr>
        <w:tc>
          <w:tcPr>
            <w:tcW w:type="dxa" w:w="200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Female</w:t>
            </w:r>
          </w:p>
        </w:tc>
        <w:tc>
          <w:tcPr>
            <w:tcW w:type="dxa" w:w="192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15,843</w:t>
            </w:r>
          </w:p>
        </w:tc>
        <w:tc>
          <w:tcPr>
            <w:tcW w:type="dxa" w:w="192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5,503</w:t>
            </w:r>
          </w:p>
        </w:tc>
        <w:tc>
          <w:tcPr>
            <w:tcW w:type="dxa" w:w="192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10,340</w:t>
            </w:r>
          </w:p>
        </w:tc>
        <w:tc>
          <w:tcPr>
            <w:tcW w:type="dxa" w:w="160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34.7%</w:t>
            </w:r>
          </w:p>
        </w:tc>
      </w:tr>
      <w:tr>
        <w:tc>
          <w:tcPr>
            <w:tcW w:type="dxa" w:w="200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Non-Binary</w:t>
            </w:r>
          </w:p>
        </w:tc>
        <w:tc>
          <w:tcPr>
            <w:tcW w:type="dxa" w:w="192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15,924</w:t>
            </w:r>
          </w:p>
        </w:tc>
        <w:tc>
          <w:tcPr>
            <w:tcW w:type="dxa" w:w="192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5,505</w:t>
            </w:r>
          </w:p>
        </w:tc>
        <w:tc>
          <w:tcPr>
            <w:tcW w:type="dxa" w:w="192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10,419</w:t>
            </w:r>
          </w:p>
        </w:tc>
        <w:tc>
          <w:tcPr>
            <w:tcW w:type="dxa" w:w="160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34.6%</w:t>
            </w:r>
          </w:p>
        </w:tc>
      </w:tr>
    </w:tbl>
    <w:p>
      <w:pPr>
        <w:spacing w:after="140"/>
      </w:pPr>
      <w:r>
        <w:t xml:space="preserve"/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B6DB5"/>
          <w:sz w:val="24"/>
          <w:szCs w:val="24"/>
        </w:rPr>
        <w:t xml:space="preserve">5.2  Age</w:t>
      </w:r>
    </w:p>
    <w:p>
      <w:pPr>
        <w:spacing w:after="12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Attrition rates are remarkably stable across age groups, ranging from 34.7% for the youngest cohort (22–25) to 35.3% for the oldest (56–62). The slight uptick in the 56–62 group may reflect pre-retirement transitions. Age alone is not a strong standalone predictor, though it may interact with tenure and career progression factors.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920"/>
        <w:gridCol w:w="1920"/>
        <w:gridCol w:w="1920"/>
        <w:gridCol w:w="1600"/>
      </w:tblGrid>
      <w:tr>
        <w:tc>
          <w:tcPr>
            <w:tcW w:type="dxa" w:w="200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0D2B5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Age Group</w:t>
            </w:r>
          </w:p>
        </w:tc>
        <w:tc>
          <w:tcPr>
            <w:tcW w:type="dxa" w:w="192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0D2B5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Total</w:t>
            </w:r>
          </w:p>
        </w:tc>
        <w:tc>
          <w:tcPr>
            <w:tcW w:type="dxa" w:w="192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0D2B5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Attrited</w:t>
            </w:r>
          </w:p>
        </w:tc>
        <w:tc>
          <w:tcPr>
            <w:tcW w:type="dxa" w:w="192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0D2B5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Active</w:t>
            </w:r>
          </w:p>
        </w:tc>
        <w:tc>
          <w:tcPr>
            <w:tcW w:type="dxa" w:w="160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0D2B5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Rate</w:t>
            </w:r>
          </w:p>
        </w:tc>
      </w:tr>
      <w:tr>
        <w:tc>
          <w:tcPr>
            <w:tcW w:type="dxa" w:w="200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22–25</w:t>
            </w:r>
          </w:p>
        </w:tc>
        <w:tc>
          <w:tcPr>
            <w:tcW w:type="dxa" w:w="192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4,605</w:t>
            </w:r>
          </w:p>
        </w:tc>
        <w:tc>
          <w:tcPr>
            <w:tcW w:type="dxa" w:w="192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1,599</w:t>
            </w:r>
          </w:p>
        </w:tc>
        <w:tc>
          <w:tcPr>
            <w:tcW w:type="dxa" w:w="192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3,006</w:t>
            </w:r>
          </w:p>
        </w:tc>
        <w:tc>
          <w:tcPr>
            <w:tcW w:type="dxa" w:w="160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34.7%</w:t>
            </w:r>
          </w:p>
        </w:tc>
      </w:tr>
      <w:tr>
        <w:tc>
          <w:tcPr>
            <w:tcW w:type="dxa" w:w="200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26–35</w:t>
            </w:r>
          </w:p>
        </w:tc>
        <w:tc>
          <w:tcPr>
            <w:tcW w:type="dxa" w:w="192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11,732</w:t>
            </w:r>
          </w:p>
        </w:tc>
        <w:tc>
          <w:tcPr>
            <w:tcW w:type="dxa" w:w="192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4,078</w:t>
            </w:r>
          </w:p>
        </w:tc>
        <w:tc>
          <w:tcPr>
            <w:tcW w:type="dxa" w:w="192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7,654</w:t>
            </w:r>
          </w:p>
        </w:tc>
        <w:tc>
          <w:tcPr>
            <w:tcW w:type="dxa" w:w="160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34.8%</w:t>
            </w:r>
          </w:p>
        </w:tc>
      </w:tr>
      <w:tr>
        <w:tc>
          <w:tcPr>
            <w:tcW w:type="dxa" w:w="200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36–45</w:t>
            </w:r>
          </w:p>
        </w:tc>
        <w:tc>
          <w:tcPr>
            <w:tcW w:type="dxa" w:w="192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11,520</w:t>
            </w:r>
          </w:p>
        </w:tc>
        <w:tc>
          <w:tcPr>
            <w:tcW w:type="dxa" w:w="192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4,010</w:t>
            </w:r>
          </w:p>
        </w:tc>
        <w:tc>
          <w:tcPr>
            <w:tcW w:type="dxa" w:w="192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7,510</w:t>
            </w:r>
          </w:p>
        </w:tc>
        <w:tc>
          <w:tcPr>
            <w:tcW w:type="dxa" w:w="160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34.8%</w:t>
            </w:r>
          </w:p>
        </w:tc>
      </w:tr>
      <w:tr>
        <w:tc>
          <w:tcPr>
            <w:tcW w:type="dxa" w:w="200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46–55</w:t>
            </w:r>
          </w:p>
        </w:tc>
        <w:tc>
          <w:tcPr>
            <w:tcW w:type="dxa" w:w="192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11,612</w:t>
            </w:r>
          </w:p>
        </w:tc>
        <w:tc>
          <w:tcPr>
            <w:tcW w:type="dxa" w:w="192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4,043</w:t>
            </w:r>
          </w:p>
        </w:tc>
        <w:tc>
          <w:tcPr>
            <w:tcW w:type="dxa" w:w="192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7,569</w:t>
            </w:r>
          </w:p>
        </w:tc>
        <w:tc>
          <w:tcPr>
            <w:tcW w:type="dxa" w:w="160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34.8%</w:t>
            </w:r>
          </w:p>
        </w:tc>
      </w:tr>
      <w:tr>
        <w:tc>
          <w:tcPr>
            <w:tcW w:type="dxa" w:w="200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56–62</w:t>
            </w:r>
          </w:p>
        </w:tc>
        <w:tc>
          <w:tcPr>
            <w:tcW w:type="dxa" w:w="192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8,097</w:t>
            </w:r>
          </w:p>
        </w:tc>
        <w:tc>
          <w:tcPr>
            <w:tcW w:type="dxa" w:w="192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2,860</w:t>
            </w:r>
          </w:p>
        </w:tc>
        <w:tc>
          <w:tcPr>
            <w:tcW w:type="dxa" w:w="192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5,237</w:t>
            </w:r>
          </w:p>
        </w:tc>
        <w:tc>
          <w:tcPr>
            <w:tcW w:type="dxa" w:w="160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9"/>
                <w:szCs w:val="19"/>
              </w:rPr>
              <w:t xml:space="preserve">35.3%</w:t>
            </w:r>
          </w:p>
        </w:tc>
      </w:tr>
    </w:tbl>
    <w:p>
      <w:pPr>
        <w:spacing w:after="140"/>
      </w:pPr>
      <w:r>
        <w:t xml:space="preserve"/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B6DB5"/>
          <w:sz w:val="24"/>
          <w:szCs w:val="24"/>
        </w:rPr>
        <w:t xml:space="preserve">5.3  Marital Status</w:t>
      </w:r>
    </w:p>
    <w:p>
      <w:pPr>
        <w:spacing w:after="12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Single employees show meaningfully higher attrition at 37.5%, compared to 33.7% for married and 33.5% for divorced employees — a gap of nearly 4 percentage points. This is consistent with research suggesting single employees face lower switching costs, have greater geographic flexibility, and are more responsive to compensation-driven moves.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920"/>
        <w:gridCol w:w="1920"/>
        <w:gridCol w:w="1920"/>
        <w:gridCol w:w="1600"/>
      </w:tblGrid>
      <w:tr>
        <w:tc>
          <w:tcPr>
            <w:tcW w:type="dxa" w:w="200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0D2B5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Marital Status</w:t>
            </w:r>
          </w:p>
        </w:tc>
        <w:tc>
          <w:tcPr>
            <w:tcW w:type="dxa" w:w="192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0D2B5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Total</w:t>
            </w:r>
          </w:p>
        </w:tc>
        <w:tc>
          <w:tcPr>
            <w:tcW w:type="dxa" w:w="192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0D2B5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Attrited</w:t>
            </w:r>
          </w:p>
        </w:tc>
        <w:tc>
          <w:tcPr>
            <w:tcW w:type="dxa" w:w="192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0D2B5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Active</w:t>
            </w:r>
          </w:p>
        </w:tc>
        <w:tc>
          <w:tcPr>
            <w:tcW w:type="dxa" w:w="160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0D2B5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Rate</w:t>
            </w:r>
          </w:p>
        </w:tc>
      </w:tr>
      <w:tr>
        <w:tc>
          <w:tcPr>
            <w:tcW w:type="dxa" w:w="200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9"/>
                <w:szCs w:val="19"/>
              </w:rPr>
              <w:t xml:space="preserve">Single</w:t>
            </w:r>
          </w:p>
        </w:tc>
        <w:tc>
          <w:tcPr>
            <w:tcW w:type="dxa" w:w="192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15,793</w:t>
            </w:r>
          </w:p>
        </w:tc>
        <w:tc>
          <w:tcPr>
            <w:tcW w:type="dxa" w:w="192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5,917</w:t>
            </w:r>
          </w:p>
        </w:tc>
        <w:tc>
          <w:tcPr>
            <w:tcW w:type="dxa" w:w="192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9,876</w:t>
            </w:r>
          </w:p>
        </w:tc>
        <w:tc>
          <w:tcPr>
            <w:tcW w:type="dxa" w:w="160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9"/>
                <w:szCs w:val="19"/>
              </w:rPr>
              <w:t xml:space="preserve">37.5%</w:t>
            </w:r>
          </w:p>
        </w:tc>
      </w:tr>
      <w:tr>
        <w:tc>
          <w:tcPr>
            <w:tcW w:type="dxa" w:w="200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Married</w:t>
            </w:r>
          </w:p>
        </w:tc>
        <w:tc>
          <w:tcPr>
            <w:tcW w:type="dxa" w:w="192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15,919</w:t>
            </w:r>
          </w:p>
        </w:tc>
        <w:tc>
          <w:tcPr>
            <w:tcW w:type="dxa" w:w="192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5,363</w:t>
            </w:r>
          </w:p>
        </w:tc>
        <w:tc>
          <w:tcPr>
            <w:tcW w:type="dxa" w:w="192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10,556</w:t>
            </w:r>
          </w:p>
        </w:tc>
        <w:tc>
          <w:tcPr>
            <w:tcW w:type="dxa" w:w="160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33.7%</w:t>
            </w:r>
          </w:p>
        </w:tc>
      </w:tr>
      <w:tr>
        <w:tc>
          <w:tcPr>
            <w:tcW w:type="dxa" w:w="200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Divorced</w:t>
            </w:r>
          </w:p>
        </w:tc>
        <w:tc>
          <w:tcPr>
            <w:tcW w:type="dxa" w:w="192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15,854</w:t>
            </w:r>
          </w:p>
        </w:tc>
        <w:tc>
          <w:tcPr>
            <w:tcW w:type="dxa" w:w="192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5,310</w:t>
            </w:r>
          </w:p>
        </w:tc>
        <w:tc>
          <w:tcPr>
            <w:tcW w:type="dxa" w:w="192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10,544</w:t>
            </w:r>
          </w:p>
        </w:tc>
        <w:tc>
          <w:tcPr>
            <w:tcW w:type="dxa" w:w="160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D4EFD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6B3C"/>
                <w:sz w:val="19"/>
                <w:szCs w:val="19"/>
              </w:rPr>
              <w:t xml:space="preserve">33.5%</w:t>
            </w:r>
          </w:p>
        </w:tc>
      </w:tr>
    </w:tbl>
    <w:p>
      <w:pPr>
        <w:spacing w:after="200"/>
      </w:pPr>
      <w:r>
        <w:t xml:space="preserve"/>
      </w:r>
    </w:p>
    <w:p>
      <w:pPr>
        <w:pageBreakBefore/>
      </w:pPr>
      <w:r>
        <w:t xml:space="preserve"/>
      </w:r>
    </w:p>
    <w:p>
      <w:pPr>
        <w:pBdr>
          <w:bottom w:val="single" w:color="1B6DB5" w:sz="6" w:space="4"/>
        </w:pBdr>
        <w:spacing w:after="100" w:before="360"/>
      </w:pPr>
      <w:r>
        <w:rPr>
          <w:rFonts w:ascii="Calibri" w:cs="Calibri" w:eastAsia="Calibri" w:hAnsi="Calibri"/>
          <w:b/>
          <w:bCs/>
          <w:color w:val="0D2B55"/>
          <w:sz w:val="32"/>
          <w:szCs w:val="32"/>
        </w:rPr>
        <w:t xml:space="preserve">6. Why Employees Leave — Exit Reason Analysis</w:t>
      </w:r>
    </w:p>
    <w:p>
      <w:pPr>
        <w:spacing w:after="12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Exit reason data is available for 16,388 of the 16,590 attrited employees (98.8% coverage; 202 recorded as 'Unknown'). The distribution of exit reasons is remarkably even, suggesting no single dominant cause — the organisation faces a broad retention challenge rather than one specific fixable issue.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2800"/>
        <w:gridCol w:w="1560"/>
        <w:gridCol w:w="1560"/>
        <w:gridCol w:w="3140"/>
      </w:tblGrid>
      <w:tr>
        <w:tc>
          <w:tcPr>
            <w:tcW w:type="dxa" w:w="30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0D2B5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Rank</w:t>
            </w:r>
          </w:p>
        </w:tc>
        <w:tc>
          <w:tcPr>
            <w:tcW w:type="dxa" w:w="280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0D2B5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Exit Reason</w:t>
            </w:r>
          </w:p>
        </w:tc>
        <w:tc>
          <w:tcPr>
            <w:tcW w:type="dxa" w:w="156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0D2B5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Count</w:t>
            </w:r>
          </w:p>
        </w:tc>
        <w:tc>
          <w:tcPr>
            <w:tcW w:type="dxa" w:w="156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0D2B5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% of Attrited</w:t>
            </w:r>
          </w:p>
        </w:tc>
        <w:tc>
          <w:tcPr>
            <w:tcW w:type="dxa" w:w="314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0D2B5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Implication</w:t>
            </w:r>
          </w:p>
        </w:tc>
      </w:tr>
      <w:tr>
        <w:tc>
          <w:tcPr>
            <w:tcW w:type="dxa" w:w="30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1</w:t>
            </w:r>
          </w:p>
        </w:tc>
        <w:tc>
          <w:tcPr>
            <w:tcW w:type="dxa" w:w="280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9"/>
                <w:szCs w:val="19"/>
              </w:rPr>
              <w:t xml:space="preserve">Work-Life Balance</w:t>
            </w:r>
          </w:p>
        </w:tc>
        <w:tc>
          <w:tcPr>
            <w:tcW w:type="dxa" w:w="156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1,687</w:t>
            </w:r>
          </w:p>
        </w:tc>
        <w:tc>
          <w:tcPr>
            <w:tcW w:type="dxa" w:w="156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10.3%</w:t>
            </w:r>
          </w:p>
        </w:tc>
        <w:tc>
          <w:tcPr>
            <w:tcW w:type="dxa" w:w="314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D6D7E"/>
                <w:sz w:val="19"/>
                <w:szCs w:val="19"/>
              </w:rPr>
              <w:t xml:space="preserve">Workload and flexibility programme needed</w:t>
            </w:r>
          </w:p>
        </w:tc>
      </w:tr>
      <w:tr>
        <w:tc>
          <w:tcPr>
            <w:tcW w:type="dxa" w:w="30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2</w:t>
            </w:r>
          </w:p>
        </w:tc>
        <w:tc>
          <w:tcPr>
            <w:tcW w:type="dxa" w:w="280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9"/>
                <w:szCs w:val="19"/>
              </w:rPr>
              <w:t xml:space="preserve">Health Issues</w:t>
            </w:r>
          </w:p>
        </w:tc>
        <w:tc>
          <w:tcPr>
            <w:tcW w:type="dxa" w:w="156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1,665</w:t>
            </w:r>
          </w:p>
        </w:tc>
        <w:tc>
          <w:tcPr>
            <w:tcW w:type="dxa" w:w="156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10.2%</w:t>
            </w:r>
          </w:p>
        </w:tc>
        <w:tc>
          <w:tcPr>
            <w:tcW w:type="dxa" w:w="314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D6D7E"/>
                <w:sz w:val="19"/>
                <w:szCs w:val="19"/>
              </w:rPr>
              <w:t xml:space="preserve">Wellbeing and EAP programme review required</w:t>
            </w:r>
          </w:p>
        </w:tc>
      </w:tr>
      <w:tr>
        <w:tc>
          <w:tcPr>
            <w:tcW w:type="dxa" w:w="30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3</w:t>
            </w:r>
          </w:p>
        </w:tc>
        <w:tc>
          <w:tcPr>
            <w:tcW w:type="dxa" w:w="280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9"/>
                <w:szCs w:val="19"/>
              </w:rPr>
              <w:t xml:space="preserve">Company Culture</w:t>
            </w:r>
          </w:p>
        </w:tc>
        <w:tc>
          <w:tcPr>
            <w:tcW w:type="dxa" w:w="156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1,646</w:t>
            </w:r>
          </w:p>
        </w:tc>
        <w:tc>
          <w:tcPr>
            <w:tcW w:type="dxa" w:w="156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10%</w:t>
            </w:r>
          </w:p>
        </w:tc>
        <w:tc>
          <w:tcPr>
            <w:tcW w:type="dxa" w:w="314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D6D7E"/>
                <w:sz w:val="19"/>
                <w:szCs w:val="19"/>
              </w:rPr>
              <w:t xml:space="preserve">Culture and engagement initiative indicated</w:t>
            </w:r>
          </w:p>
        </w:tc>
      </w:tr>
      <w:tr>
        <w:tc>
          <w:tcPr>
            <w:tcW w:type="dxa" w:w="30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4</w:t>
            </w:r>
          </w:p>
        </w:tc>
        <w:tc>
          <w:tcPr>
            <w:tcW w:type="dxa" w:w="280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9"/>
                <w:szCs w:val="19"/>
              </w:rPr>
              <w:t xml:space="preserve">Personal Reasons</w:t>
            </w:r>
          </w:p>
        </w:tc>
        <w:tc>
          <w:tcPr>
            <w:tcW w:type="dxa" w:w="156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1,645</w:t>
            </w:r>
          </w:p>
        </w:tc>
        <w:tc>
          <w:tcPr>
            <w:tcW w:type="dxa" w:w="156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10%</w:t>
            </w:r>
          </w:p>
        </w:tc>
        <w:tc>
          <w:tcPr>
            <w:tcW w:type="dxa" w:w="314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D6D7E"/>
                <w:sz w:val="19"/>
                <w:szCs w:val="19"/>
              </w:rPr>
              <w:t xml:space="preserve">Limited intervention scope; focus on flexibility</w:t>
            </w:r>
          </w:p>
        </w:tc>
      </w:tr>
      <w:tr>
        <w:tc>
          <w:tcPr>
            <w:tcW w:type="dxa" w:w="30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5</w:t>
            </w:r>
          </w:p>
        </w:tc>
        <w:tc>
          <w:tcPr>
            <w:tcW w:type="dxa" w:w="280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9"/>
                <w:szCs w:val="19"/>
              </w:rPr>
              <w:t xml:space="preserve">Job Insecurity</w:t>
            </w:r>
          </w:p>
        </w:tc>
        <w:tc>
          <w:tcPr>
            <w:tcW w:type="dxa" w:w="156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1,644</w:t>
            </w:r>
          </w:p>
        </w:tc>
        <w:tc>
          <w:tcPr>
            <w:tcW w:type="dxa" w:w="156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10%</w:t>
            </w:r>
          </w:p>
        </w:tc>
        <w:tc>
          <w:tcPr>
            <w:tcW w:type="dxa" w:w="314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D6D7E"/>
                <w:sz w:val="19"/>
                <w:szCs w:val="19"/>
              </w:rPr>
              <w:t xml:space="preserve">Internal communications and stability messaging</w:t>
            </w:r>
          </w:p>
        </w:tc>
      </w:tr>
      <w:tr>
        <w:tc>
          <w:tcPr>
            <w:tcW w:type="dxa" w:w="30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6</w:t>
            </w:r>
          </w:p>
        </w:tc>
        <w:tc>
          <w:tcPr>
            <w:tcW w:type="dxa" w:w="280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9"/>
                <w:szCs w:val="19"/>
              </w:rPr>
              <w:t xml:space="preserve">Relocation</w:t>
            </w:r>
          </w:p>
        </w:tc>
        <w:tc>
          <w:tcPr>
            <w:tcW w:type="dxa" w:w="156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1,642</w:t>
            </w:r>
          </w:p>
        </w:tc>
        <w:tc>
          <w:tcPr>
            <w:tcW w:type="dxa" w:w="156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10%</w:t>
            </w:r>
          </w:p>
        </w:tc>
        <w:tc>
          <w:tcPr>
            <w:tcW w:type="dxa" w:w="314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D6D7E"/>
                <w:sz w:val="19"/>
                <w:szCs w:val="19"/>
              </w:rPr>
              <w:t xml:space="preserve">Remote work policy review could help</w:t>
            </w:r>
          </w:p>
        </w:tc>
      </w:tr>
      <w:tr>
        <w:tc>
          <w:tcPr>
            <w:tcW w:type="dxa" w:w="30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7</w:t>
            </w:r>
          </w:p>
        </w:tc>
        <w:tc>
          <w:tcPr>
            <w:tcW w:type="dxa" w:w="280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9"/>
                <w:szCs w:val="19"/>
              </w:rPr>
              <w:t xml:space="preserve">Manager Conflict</w:t>
            </w:r>
          </w:p>
        </w:tc>
        <w:tc>
          <w:tcPr>
            <w:tcW w:type="dxa" w:w="156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1,633</w:t>
            </w:r>
          </w:p>
        </w:tc>
        <w:tc>
          <w:tcPr>
            <w:tcW w:type="dxa" w:w="156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10%</w:t>
            </w:r>
          </w:p>
        </w:tc>
        <w:tc>
          <w:tcPr>
            <w:tcW w:type="dxa" w:w="314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D6D7E"/>
                <w:sz w:val="19"/>
                <w:szCs w:val="19"/>
              </w:rPr>
              <w:t xml:space="preserve">Manager effectiveness training priority</w:t>
            </w:r>
          </w:p>
        </w:tc>
      </w:tr>
      <w:tr>
        <w:tc>
          <w:tcPr>
            <w:tcW w:type="dxa" w:w="30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8</w:t>
            </w:r>
          </w:p>
        </w:tc>
        <w:tc>
          <w:tcPr>
            <w:tcW w:type="dxa" w:w="280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9"/>
                <w:szCs w:val="19"/>
              </w:rPr>
              <w:t xml:space="preserve">Career Growth</w:t>
            </w:r>
          </w:p>
        </w:tc>
        <w:tc>
          <w:tcPr>
            <w:tcW w:type="dxa" w:w="156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1,618</w:t>
            </w:r>
          </w:p>
        </w:tc>
        <w:tc>
          <w:tcPr>
            <w:tcW w:type="dxa" w:w="156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9.9%</w:t>
            </w:r>
          </w:p>
        </w:tc>
        <w:tc>
          <w:tcPr>
            <w:tcW w:type="dxa" w:w="314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D6D7E"/>
                <w:sz w:val="19"/>
                <w:szCs w:val="19"/>
              </w:rPr>
              <w:t xml:space="preserve">Internal mobility and promotion pathway review</w:t>
            </w:r>
          </w:p>
        </w:tc>
      </w:tr>
      <w:tr>
        <w:tc>
          <w:tcPr>
            <w:tcW w:type="dxa" w:w="30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9</w:t>
            </w:r>
          </w:p>
        </w:tc>
        <w:tc>
          <w:tcPr>
            <w:tcW w:type="dxa" w:w="280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9"/>
                <w:szCs w:val="19"/>
              </w:rPr>
              <w:t xml:space="preserve">Better Opportunity</w:t>
            </w:r>
          </w:p>
        </w:tc>
        <w:tc>
          <w:tcPr>
            <w:tcW w:type="dxa" w:w="156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1,608</w:t>
            </w:r>
          </w:p>
        </w:tc>
        <w:tc>
          <w:tcPr>
            <w:tcW w:type="dxa" w:w="156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9.8%</w:t>
            </w:r>
          </w:p>
        </w:tc>
        <w:tc>
          <w:tcPr>
            <w:tcW w:type="dxa" w:w="314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D6D7E"/>
                <w:sz w:val="19"/>
                <w:szCs w:val="19"/>
              </w:rPr>
              <w:t xml:space="preserve">Compensation benchmarking against market</w:t>
            </w:r>
          </w:p>
        </w:tc>
      </w:tr>
      <w:tr>
        <w:tc>
          <w:tcPr>
            <w:tcW w:type="dxa" w:w="30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10</w:t>
            </w:r>
          </w:p>
        </w:tc>
        <w:tc>
          <w:tcPr>
            <w:tcW w:type="dxa" w:w="280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9"/>
                <w:szCs w:val="19"/>
              </w:rPr>
              <w:t xml:space="preserve">Higher Salary</w:t>
            </w:r>
          </w:p>
        </w:tc>
        <w:tc>
          <w:tcPr>
            <w:tcW w:type="dxa" w:w="156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1,600</w:t>
            </w:r>
          </w:p>
        </w:tc>
        <w:tc>
          <w:tcPr>
            <w:tcW w:type="dxa" w:w="156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9.8%</w:t>
            </w:r>
          </w:p>
        </w:tc>
        <w:tc>
          <w:tcPr>
            <w:tcW w:type="dxa" w:w="314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D6D7E"/>
                <w:sz w:val="19"/>
                <w:szCs w:val="19"/>
              </w:rPr>
              <w:t xml:space="preserve">Compensation review and pay equity analysis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1B6DB5" w:sz="12"/>
              <w:bottom w:val="none"/>
              <w:right w:val="none"/>
            </w:tcBorders>
            <w:shd w:fill="EBF4FC" w:val="clear"/>
            <w:tcMar>
              <w:top w:type="dxa" w:w="120"/>
              <w:left w:type="dxa" w:w="24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B6DB5"/>
                <w:sz w:val="19"/>
                <w:szCs w:val="19"/>
              </w:rPr>
              <w:t xml:space="preserve">Key insight — No single dominant exit reason</w:t>
            </w:r>
          </w:p>
          <w:p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The remarkably even split across all 10 exit reasons (each approximately 10%) is an important structural finding. It suggests employees do not leave because of one specific problem but because of an accumulation of dissatisfactions. This makes targeted single-issue fixes insufficient — the organisation needs a broad-based engagement and retention strategy addressing multiple dimensions simultaneously.</w:t>
            </w:r>
          </w:p>
        </w:tc>
      </w:tr>
    </w:tbl>
    <w:p>
      <w:pPr>
        <w:spacing w:after="200"/>
      </w:pPr>
      <w:r>
        <w:t xml:space="preserve"/>
      </w:r>
    </w:p>
    <w:p>
      <w:pPr>
        <w:pageBreakBefore/>
      </w:pPr>
      <w:r>
        <w:t xml:space="preserve"/>
      </w:r>
    </w:p>
    <w:p>
      <w:pPr>
        <w:pBdr>
          <w:bottom w:val="single" w:color="1B6DB5" w:sz="6" w:space="4"/>
        </w:pBdr>
        <w:spacing w:after="100" w:before="360"/>
      </w:pPr>
      <w:r>
        <w:rPr>
          <w:rFonts w:ascii="Calibri" w:cs="Calibri" w:eastAsia="Calibri" w:hAnsi="Calibri"/>
          <w:b/>
          <w:bCs/>
          <w:color w:val="0D2B55"/>
          <w:sz w:val="32"/>
          <w:szCs w:val="32"/>
        </w:rPr>
        <w:t xml:space="preserve">7. Satisfaction, Performance &amp; Engagement</w:t>
      </w:r>
    </w:p>
    <w:p>
      <w:pPr>
        <w:spacing w:after="60"/>
      </w:pPr>
      <w:r>
        <w:t xml:space="preserve"/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B6DB5"/>
          <w:sz w:val="24"/>
          <w:szCs w:val="24"/>
        </w:rPr>
        <w:t xml:space="preserve">7.1  Job Satisfaction Distribution</w:t>
      </w:r>
    </w:p>
    <w:p>
      <w:pPr>
        <w:spacing w:after="12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Job Satisfaction is scored 1–5 (1 = very low, 5 = very high). A clear pattern emerges: at satisfaction scores of 1 and 2, the ratio of attrited to active employees is nearly 1:1.4 — meaning nearly 42% of low-satisfaction employees left. At scores of 4 and 5, that ratio improves dramatically to around 1:2.3 (attrition rate of approximately 30%).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1600"/>
        <w:gridCol w:w="1600"/>
        <w:gridCol w:w="1600"/>
        <w:gridCol w:w="1560"/>
      </w:tblGrid>
      <w:tr>
        <w:tc>
          <w:tcPr>
            <w:tcW w:type="dxa" w:w="140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0D2B5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Score</w:t>
            </w:r>
          </w:p>
        </w:tc>
        <w:tc>
          <w:tcPr>
            <w:tcW w:type="dxa" w:w="160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0D2B5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Attrited</w:t>
            </w:r>
          </w:p>
        </w:tc>
        <w:tc>
          <w:tcPr>
            <w:tcW w:type="dxa" w:w="160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0D2B5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Active</w:t>
            </w:r>
          </w:p>
        </w:tc>
        <w:tc>
          <w:tcPr>
            <w:tcW w:type="dxa" w:w="160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0D2B5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Total</w:t>
            </w:r>
          </w:p>
        </w:tc>
        <w:tc>
          <w:tcPr>
            <w:tcW w:type="dxa" w:w="160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0D2B5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Attrition Rate</w:t>
            </w:r>
          </w:p>
        </w:tc>
        <w:tc>
          <w:tcPr>
            <w:tcW w:type="dxa" w:w="156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0D2B5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Signal</w:t>
            </w:r>
          </w:p>
        </w:tc>
      </w:tr>
      <w:tr>
        <w:tc>
          <w:tcPr>
            <w:tcW w:type="dxa" w:w="140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1</w:t>
            </w:r>
          </w:p>
        </w:tc>
        <w:tc>
          <w:tcPr>
            <w:tcW w:type="dxa" w:w="160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9"/>
                <w:szCs w:val="19"/>
              </w:rPr>
              <w:t xml:space="preserve">3,970</w:t>
            </w:r>
          </w:p>
        </w:tc>
        <w:tc>
          <w:tcPr>
            <w:tcW w:type="dxa" w:w="160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5,420</w:t>
            </w:r>
          </w:p>
        </w:tc>
        <w:tc>
          <w:tcPr>
            <w:tcW w:type="dxa" w:w="160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9,390</w:t>
            </w:r>
          </w:p>
        </w:tc>
        <w:tc>
          <w:tcPr>
            <w:tcW w:type="dxa" w:w="160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9"/>
                <w:szCs w:val="19"/>
              </w:rPr>
              <w:t xml:space="preserve">42.3%</w:t>
            </w:r>
          </w:p>
        </w:tc>
        <w:tc>
          <w:tcPr>
            <w:tcW w:type="dxa" w:w="156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C0392B"/>
                <w:sz w:val="19"/>
                <w:szCs w:val="19"/>
              </w:rPr>
              <w:t xml:space="preserve">High risk</w:t>
            </w:r>
          </w:p>
        </w:tc>
      </w:tr>
      <w:tr>
        <w:tc>
          <w:tcPr>
            <w:tcW w:type="dxa" w:w="140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2</w:t>
            </w:r>
          </w:p>
        </w:tc>
        <w:tc>
          <w:tcPr>
            <w:tcW w:type="dxa" w:w="160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9"/>
                <w:szCs w:val="19"/>
              </w:rPr>
              <w:t xml:space="preserve">3,860</w:t>
            </w:r>
          </w:p>
        </w:tc>
        <w:tc>
          <w:tcPr>
            <w:tcW w:type="dxa" w:w="160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5,337</w:t>
            </w:r>
          </w:p>
        </w:tc>
        <w:tc>
          <w:tcPr>
            <w:tcW w:type="dxa" w:w="160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9,197</w:t>
            </w:r>
          </w:p>
        </w:tc>
        <w:tc>
          <w:tcPr>
            <w:tcW w:type="dxa" w:w="160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9"/>
                <w:szCs w:val="19"/>
              </w:rPr>
              <w:t xml:space="preserve">42%</w:t>
            </w:r>
          </w:p>
        </w:tc>
        <w:tc>
          <w:tcPr>
            <w:tcW w:type="dxa" w:w="156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C0392B"/>
                <w:sz w:val="19"/>
                <w:szCs w:val="19"/>
              </w:rPr>
              <w:t xml:space="preserve">High risk</w:t>
            </w:r>
          </w:p>
        </w:tc>
      </w:tr>
      <w:tr>
        <w:tc>
          <w:tcPr>
            <w:tcW w:type="dxa" w:w="140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D4EFD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3</w:t>
            </w:r>
          </w:p>
        </w:tc>
        <w:tc>
          <w:tcPr>
            <w:tcW w:type="dxa" w:w="160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D4EFD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6B3C"/>
                <w:sz w:val="19"/>
                <w:szCs w:val="19"/>
              </w:rPr>
              <w:t xml:space="preserve">3,126</w:t>
            </w:r>
          </w:p>
        </w:tc>
        <w:tc>
          <w:tcPr>
            <w:tcW w:type="dxa" w:w="160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D4EFD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7,429</w:t>
            </w:r>
          </w:p>
        </w:tc>
        <w:tc>
          <w:tcPr>
            <w:tcW w:type="dxa" w:w="160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D4EFD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10,555</w:t>
            </w:r>
          </w:p>
        </w:tc>
        <w:tc>
          <w:tcPr>
            <w:tcW w:type="dxa" w:w="160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D4EFD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6B3C"/>
                <w:sz w:val="19"/>
                <w:szCs w:val="19"/>
              </w:rPr>
              <w:t xml:space="preserve">29.6%</w:t>
            </w:r>
          </w:p>
        </w:tc>
        <w:tc>
          <w:tcPr>
            <w:tcW w:type="dxa" w:w="156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D4EFD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6B3C"/>
                <w:sz w:val="19"/>
                <w:szCs w:val="19"/>
              </w:rPr>
              <w:t xml:space="preserve">Below average</w:t>
            </w:r>
          </w:p>
        </w:tc>
      </w:tr>
      <w:tr>
        <w:tc>
          <w:tcPr>
            <w:tcW w:type="dxa" w:w="140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D4EFD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4</w:t>
            </w:r>
          </w:p>
        </w:tc>
        <w:tc>
          <w:tcPr>
            <w:tcW w:type="dxa" w:w="160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D4EFD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6B3C"/>
                <w:sz w:val="19"/>
                <w:szCs w:val="19"/>
              </w:rPr>
              <w:t xml:space="preserve">2,813</w:t>
            </w:r>
          </w:p>
        </w:tc>
        <w:tc>
          <w:tcPr>
            <w:tcW w:type="dxa" w:w="160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D4EFD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6,470</w:t>
            </w:r>
          </w:p>
        </w:tc>
        <w:tc>
          <w:tcPr>
            <w:tcW w:type="dxa" w:w="160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D4EFD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9,283</w:t>
            </w:r>
          </w:p>
        </w:tc>
        <w:tc>
          <w:tcPr>
            <w:tcW w:type="dxa" w:w="160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D4EFD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6B3C"/>
                <w:sz w:val="19"/>
                <w:szCs w:val="19"/>
              </w:rPr>
              <w:t xml:space="preserve">30.3%</w:t>
            </w:r>
          </w:p>
        </w:tc>
        <w:tc>
          <w:tcPr>
            <w:tcW w:type="dxa" w:w="156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D4EFD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6B3C"/>
                <w:sz w:val="19"/>
                <w:szCs w:val="19"/>
              </w:rPr>
              <w:t xml:space="preserve">Below average</w:t>
            </w:r>
          </w:p>
        </w:tc>
      </w:tr>
      <w:tr>
        <w:tc>
          <w:tcPr>
            <w:tcW w:type="dxa" w:w="140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D4EFD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5</w:t>
            </w:r>
          </w:p>
        </w:tc>
        <w:tc>
          <w:tcPr>
            <w:tcW w:type="dxa" w:w="160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D4EFD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6B3C"/>
                <w:sz w:val="19"/>
                <w:szCs w:val="19"/>
              </w:rPr>
              <w:t xml:space="preserve">2,821</w:t>
            </w:r>
          </w:p>
        </w:tc>
        <w:tc>
          <w:tcPr>
            <w:tcW w:type="dxa" w:w="160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D4EFD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6,320</w:t>
            </w:r>
          </w:p>
        </w:tc>
        <w:tc>
          <w:tcPr>
            <w:tcW w:type="dxa" w:w="160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D4EFD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9,141</w:t>
            </w:r>
          </w:p>
        </w:tc>
        <w:tc>
          <w:tcPr>
            <w:tcW w:type="dxa" w:w="160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D4EFD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6B3C"/>
                <w:sz w:val="19"/>
                <w:szCs w:val="19"/>
              </w:rPr>
              <w:t xml:space="preserve">30.9%</w:t>
            </w:r>
          </w:p>
        </w:tc>
        <w:tc>
          <w:tcPr>
            <w:tcW w:type="dxa" w:w="156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D4EFD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6B3C"/>
                <w:sz w:val="19"/>
                <w:szCs w:val="19"/>
              </w:rPr>
              <w:t xml:space="preserve">Below average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B6DB5"/>
          <w:sz w:val="24"/>
          <w:szCs w:val="24"/>
        </w:rPr>
        <w:t xml:space="preserve">7.2  Performance Rating</w:t>
      </w:r>
    </w:p>
    <w:p>
      <w:pPr>
        <w:spacing w:after="12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The Low performance rating group shows a meaningfully higher attrition rate of 39.8%, compared to 34.3%–34.8% for all other rating levels. This is consistent with expectations — employees on performance improvement plans or flagged as underperformers are more likely to self-select out, be managed out, or proactively leave. The difference between Average, High, and Excellent is negligible.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40"/>
        <w:gridCol w:w="1840"/>
        <w:gridCol w:w="1840"/>
        <w:gridCol w:w="1840"/>
      </w:tblGrid>
      <w:tr>
        <w:tc>
          <w:tcPr>
            <w:tcW w:type="dxa" w:w="200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0D2B5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Performance</w:t>
            </w:r>
          </w:p>
        </w:tc>
        <w:tc>
          <w:tcPr>
            <w:tcW w:type="dxa" w:w="184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0D2B5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Total</w:t>
            </w:r>
          </w:p>
        </w:tc>
        <w:tc>
          <w:tcPr>
            <w:tcW w:type="dxa" w:w="184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0D2B5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Attrited</w:t>
            </w:r>
          </w:p>
        </w:tc>
        <w:tc>
          <w:tcPr>
            <w:tcW w:type="dxa" w:w="184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0D2B5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Active</w:t>
            </w:r>
          </w:p>
        </w:tc>
        <w:tc>
          <w:tcPr>
            <w:tcW w:type="dxa" w:w="184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0D2B5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Rate</w:t>
            </w:r>
          </w:p>
        </w:tc>
      </w:tr>
      <w:tr>
        <w:tc>
          <w:tcPr>
            <w:tcW w:type="dxa" w:w="200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9"/>
                <w:szCs w:val="19"/>
              </w:rPr>
              <w:t xml:space="preserve">Low</w:t>
            </w:r>
          </w:p>
        </w:tc>
        <w:tc>
          <w:tcPr>
            <w:tcW w:type="dxa" w:w="184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2,313</w:t>
            </w:r>
          </w:p>
        </w:tc>
        <w:tc>
          <w:tcPr>
            <w:tcW w:type="dxa" w:w="184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921</w:t>
            </w:r>
          </w:p>
        </w:tc>
        <w:tc>
          <w:tcPr>
            <w:tcW w:type="dxa" w:w="184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1,392</w:t>
            </w:r>
          </w:p>
        </w:tc>
        <w:tc>
          <w:tcPr>
            <w:tcW w:type="dxa" w:w="184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9"/>
                <w:szCs w:val="19"/>
              </w:rPr>
              <w:t xml:space="preserve">39.8%</w:t>
            </w:r>
          </w:p>
        </w:tc>
      </w:tr>
      <w:tr>
        <w:tc>
          <w:tcPr>
            <w:tcW w:type="dxa" w:w="200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Average</w:t>
            </w:r>
          </w:p>
        </w:tc>
        <w:tc>
          <w:tcPr>
            <w:tcW w:type="dxa" w:w="184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16,748</w:t>
            </w:r>
          </w:p>
        </w:tc>
        <w:tc>
          <w:tcPr>
            <w:tcW w:type="dxa" w:w="184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5,741</w:t>
            </w:r>
          </w:p>
        </w:tc>
        <w:tc>
          <w:tcPr>
            <w:tcW w:type="dxa" w:w="184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11,007</w:t>
            </w:r>
          </w:p>
        </w:tc>
        <w:tc>
          <w:tcPr>
            <w:tcW w:type="dxa" w:w="184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34.3%</w:t>
            </w:r>
          </w:p>
        </w:tc>
      </w:tr>
      <w:tr>
        <w:tc>
          <w:tcPr>
            <w:tcW w:type="dxa" w:w="200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High</w:t>
            </w:r>
          </w:p>
        </w:tc>
        <w:tc>
          <w:tcPr>
            <w:tcW w:type="dxa" w:w="184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18,884</w:t>
            </w:r>
          </w:p>
        </w:tc>
        <w:tc>
          <w:tcPr>
            <w:tcW w:type="dxa" w:w="184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6,577</w:t>
            </w:r>
          </w:p>
        </w:tc>
        <w:tc>
          <w:tcPr>
            <w:tcW w:type="dxa" w:w="184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12,307</w:t>
            </w:r>
          </w:p>
        </w:tc>
        <w:tc>
          <w:tcPr>
            <w:tcW w:type="dxa" w:w="184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34.8%</w:t>
            </w:r>
          </w:p>
        </w:tc>
      </w:tr>
      <w:tr>
        <w:tc>
          <w:tcPr>
            <w:tcW w:type="dxa" w:w="200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Excellent</w:t>
            </w:r>
          </w:p>
        </w:tc>
        <w:tc>
          <w:tcPr>
            <w:tcW w:type="dxa" w:w="184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9,621</w:t>
            </w:r>
          </w:p>
        </w:tc>
        <w:tc>
          <w:tcPr>
            <w:tcW w:type="dxa" w:w="184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3,351</w:t>
            </w:r>
          </w:p>
        </w:tc>
        <w:tc>
          <w:tcPr>
            <w:tcW w:type="dxa" w:w="184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6,270</w:t>
            </w:r>
          </w:p>
        </w:tc>
        <w:tc>
          <w:tcPr>
            <w:tcW w:type="dxa" w:w="184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34.8%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C0392B" w:sz="12"/>
              <w:bottom w:val="none"/>
              <w:right w:val="none"/>
            </w:tcBorders>
            <w:shd w:fill="FDECEA" w:val="clear"/>
            <w:tcMar>
              <w:top w:type="dxa" w:w="120"/>
              <w:left w:type="dxa" w:w="24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9"/>
                <w:szCs w:val="19"/>
              </w:rPr>
              <w:t xml:space="preserve">Concern — High performers are not being retained at a better rate</w:t>
            </w:r>
          </w:p>
          <w:p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The near-identical attrition rates between High (34.8%) and Excellent (34.8%) performers compared to Average (34.3%) is a significant warning sign. High performers are leaving at virtually the same rate as average performers. This suggests the organisation may not have differentiated retention mechanisms for its top talent — such as accelerated compensation growth, fast-track promotion, or equity programmes.</w:t>
            </w:r>
          </w:p>
        </w:tc>
      </w:tr>
    </w:tbl>
    <w:p>
      <w:pPr>
        <w:spacing w:after="200"/>
      </w:pPr>
      <w:r>
        <w:t xml:space="preserve"/>
      </w:r>
    </w:p>
    <w:p>
      <w:pPr>
        <w:pageBreakBefore/>
      </w:pPr>
      <w:r>
        <w:t xml:space="preserve"/>
      </w:r>
    </w:p>
    <w:p>
      <w:pPr>
        <w:pBdr>
          <w:bottom w:val="single" w:color="1B6DB5" w:sz="6" w:space="4"/>
        </w:pBdr>
        <w:spacing w:after="100" w:before="360"/>
      </w:pPr>
      <w:r>
        <w:rPr>
          <w:rFonts w:ascii="Calibri" w:cs="Calibri" w:eastAsia="Calibri" w:hAnsi="Calibri"/>
          <w:b/>
          <w:bCs/>
          <w:color w:val="0D2B55"/>
          <w:sz w:val="32"/>
          <w:szCs w:val="32"/>
        </w:rPr>
        <w:t xml:space="preserve">8. Recommendations</w:t>
      </w:r>
    </w:p>
    <w:p>
      <w:pPr>
        <w:spacing w:after="12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Based on the analysis, the following recommendations are proposed in priority order. Each is tied directly to a finding in this report.</w:t>
      </w:r>
    </w:p>
    <w:p>
      <w:pPr>
        <w:spacing w:after="100"/>
      </w:pPr>
      <w:r>
        <w:t xml:space="preserve"/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C0392B"/>
          <w:sz w:val="24"/>
          <w:szCs w:val="24"/>
        </w:rPr>
        <w:t xml:space="preserve">Priority 1 — Immediate (Next 30 days)</w:t>
      </w:r>
    </w:p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080"/>
        <w:gridCol w:w="4880"/>
      </w:tblGrid>
      <w:tr>
        <w:tc>
          <w:tcPr>
            <w:tcW w:type="dxa" w:w="40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0D2B5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08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0D2B5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Recommendation</w:t>
            </w:r>
          </w:p>
        </w:tc>
        <w:tc>
          <w:tcPr>
            <w:tcW w:type="dxa" w:w="488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0D2B5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Supporting Evidence</w:t>
            </w:r>
          </w:p>
        </w:tc>
      </w:tr>
      <w:tr>
        <w:tc>
          <w:tcPr>
            <w:tcW w:type="dxa" w:w="40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9"/>
                <w:szCs w:val="19"/>
              </w:rPr>
              <w:t xml:space="preserve">R1</w:t>
            </w:r>
          </w:p>
        </w:tc>
        <w:tc>
          <w:tcPr>
            <w:tcW w:type="dxa" w:w="408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Conduct an overtime audit across all departments. Identify roles where sustained overtime is structural rather than occasional, and redesign workloads or add headcount.</w:t>
            </w:r>
          </w:p>
        </w:tc>
        <w:tc>
          <w:tcPr>
            <w:tcW w:type="dxa" w:w="488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Overtime employees: 41.5% attrition vs 31.4% — the largest single risk factor. Affects 16,590 employees.</w:t>
            </w:r>
          </w:p>
        </w:tc>
      </w:tr>
      <w:tr>
        <w:tc>
          <w:tcPr>
            <w:tcW w:type="dxa" w:w="40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9"/>
                <w:szCs w:val="19"/>
              </w:rPr>
              <w:t xml:space="preserve">R2</w:t>
            </w:r>
          </w:p>
        </w:tc>
        <w:tc>
          <w:tcPr>
            <w:tcW w:type="dxa" w:w="408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Launch an emergency engagement survey targeting employees who rate Work-Life Balance as Poor (n=4,816) to understand root causes and immediate interventions.</w:t>
            </w:r>
          </w:p>
        </w:tc>
        <w:tc>
          <w:tcPr>
            <w:tcW w:type="dxa" w:w="488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Poor WLB attrition rate: 40.8% — 5.9pp above company average. Closely correlated with overtime.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8B5E05"/>
          <w:sz w:val="24"/>
          <w:szCs w:val="24"/>
        </w:rPr>
        <w:t xml:space="preserve">Priority 2 — Short-Term (Next Quarter)</w:t>
      </w:r>
    </w:p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080"/>
        <w:gridCol w:w="4880"/>
      </w:tblGrid>
      <w:tr>
        <w:tc>
          <w:tcPr>
            <w:tcW w:type="dxa" w:w="40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0D2B5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08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0D2B5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Recommendation</w:t>
            </w:r>
          </w:p>
        </w:tc>
        <w:tc>
          <w:tcPr>
            <w:tcW w:type="dxa" w:w="488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0D2B5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Supporting Evidence</w:t>
            </w:r>
          </w:p>
        </w:tc>
      </w:tr>
      <w:tr>
        <w:tc>
          <w:tcPr>
            <w:tcW w:type="dxa" w:w="40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FEF3C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B5E05"/>
                <w:sz w:val="19"/>
                <w:szCs w:val="19"/>
              </w:rPr>
              <w:t xml:space="preserve">R3</w:t>
            </w:r>
          </w:p>
        </w:tc>
        <w:tc>
          <w:tcPr>
            <w:tcW w:type="dxa" w:w="408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Review the business travel policy. Consider replacing some trips with virtual engagement and set a maximum annual travel threshold to protect work-life balance.</w:t>
            </w:r>
          </w:p>
        </w:tc>
        <w:tc>
          <w:tcPr>
            <w:tcW w:type="dxa" w:w="488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Frequent travellers: 39.1% attrition vs 33.7% for rare travellers — a 5.4pp gap affecting ~9,500 employees.</w:t>
            </w:r>
          </w:p>
        </w:tc>
      </w:tr>
      <w:tr>
        <w:tc>
          <w:tcPr>
            <w:tcW w:type="dxa" w:w="40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FEF3C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B5E05"/>
                <w:sz w:val="19"/>
                <w:szCs w:val="19"/>
              </w:rPr>
              <w:t xml:space="preserve">R4</w:t>
            </w:r>
          </w:p>
        </w:tc>
        <w:tc>
          <w:tcPr>
            <w:tcW w:type="dxa" w:w="408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Develop a targeted single-employee retention programme: enhanced flexibility, remote work options, and career development support — addressing the 4pp attrition premium for single employees.</w:t>
            </w:r>
          </w:p>
        </w:tc>
        <w:tc>
          <w:tcPr>
            <w:tcW w:type="dxa" w:w="488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Single employees: 37.5% vs 33.5–33.7% for other marital statuses. Represent 33% of the workforce.</w:t>
            </w:r>
          </w:p>
        </w:tc>
      </w:tr>
      <w:tr>
        <w:tc>
          <w:tcPr>
            <w:tcW w:type="dxa" w:w="40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FEF3C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B5E05"/>
                <w:sz w:val="19"/>
                <w:szCs w:val="19"/>
              </w:rPr>
              <w:t xml:space="preserve">R5</w:t>
            </w:r>
          </w:p>
        </w:tc>
        <w:tc>
          <w:tcPr>
            <w:tcW w:type="dxa" w:w="408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Investigate the career plateau risk for employees with 10+ years tenure. Review promotion rates and career path clarity for long-tenured staff.</w:t>
            </w:r>
          </w:p>
        </w:tc>
        <w:tc>
          <w:tcPr>
            <w:tcW w:type="dxa" w:w="488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10+ year tenure: 35.6% attrition — the highest of any tenure band, rising steadily from 33.8% for &lt;1yr employees.</w:t>
            </w:r>
          </w:p>
        </w:tc>
      </w:tr>
      <w:tr>
        <w:tc>
          <w:tcPr>
            <w:tcW w:type="dxa" w:w="40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FEF3C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B5E05"/>
                <w:sz w:val="19"/>
                <w:szCs w:val="19"/>
              </w:rPr>
              <w:t xml:space="preserve">R6</w:t>
            </w:r>
          </w:p>
        </w:tc>
        <w:tc>
          <w:tcPr>
            <w:tcW w:type="dxa" w:w="408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Create differentiated retention pathways for High and Excellent performers: equity grants, accelerated pay reviews, and internal mobility opportunities.</w:t>
            </w:r>
          </w:p>
        </w:tc>
        <w:tc>
          <w:tcPr>
            <w:tcW w:type="dxa" w:w="488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High/Excellent performers leaving at 34.8% — nearly identical to Average at 34.3%. Top talent is not being retained better than average talent.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Priority 3 — Strategic (Next 6 Months)</w:t>
      </w:r>
    </w:p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080"/>
        <w:gridCol w:w="4880"/>
      </w:tblGrid>
      <w:tr>
        <w:tc>
          <w:tcPr>
            <w:tcW w:type="dxa" w:w="40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0D2B5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08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0D2B5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Recommendation</w:t>
            </w:r>
          </w:p>
        </w:tc>
        <w:tc>
          <w:tcPr>
            <w:tcW w:type="dxa" w:w="488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0D2B5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Supporting Evidence</w:t>
            </w:r>
          </w:p>
        </w:tc>
      </w:tr>
      <w:tr>
        <w:tc>
          <w:tcPr>
            <w:tcW w:type="dxa" w:w="40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EBF4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6DB5"/>
                <w:sz w:val="19"/>
                <w:szCs w:val="19"/>
              </w:rPr>
              <w:t xml:space="preserve">R7</w:t>
            </w:r>
          </w:p>
        </w:tc>
        <w:tc>
          <w:tcPr>
            <w:tcW w:type="dxa" w:w="408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Design a broad-based engagement programme addressing the top 5 exit reasons simultaneously (WLB, wellbeing, culture, manager quality, career growth). No single fix will move the needle given the even distribution of exit reasons.</w:t>
            </w:r>
          </w:p>
        </w:tc>
        <w:tc>
          <w:tcPr>
            <w:tcW w:type="dxa" w:w="488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All 10 exit reasons are at approximately 10% each — no single dominant cause. Requires holistic retention strategy.</w:t>
            </w:r>
          </w:p>
        </w:tc>
      </w:tr>
      <w:tr>
        <w:tc>
          <w:tcPr>
            <w:tcW w:type="dxa" w:w="40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EBF4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6DB5"/>
                <w:sz w:val="19"/>
                <w:szCs w:val="19"/>
              </w:rPr>
              <w:t xml:space="preserve">R8</w:t>
            </w:r>
          </w:p>
        </w:tc>
        <w:tc>
          <w:tcPr>
            <w:tcW w:type="dxa" w:w="408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Commission a manager effectiveness review and 360-degree feedback programme. Manager Conflict is the 7th most common exit reason and manager quality underpins most other attrition factors.</w:t>
            </w:r>
          </w:p>
        </w:tc>
        <w:tc>
          <w:tcPr>
            <w:tcW w:type="dxa" w:w="488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Manager Conflict: 1,633 exit records (10.0%). Manager quality also indirectly drives WLB, job satisfaction, and career growth perceptions.</w:t>
            </w:r>
          </w:p>
        </w:tc>
      </w:tr>
      <w:tr>
        <w:tc>
          <w:tcPr>
            <w:tcW w:type="dxa" w:w="40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EBF4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6DB5"/>
                <w:sz w:val="19"/>
                <w:szCs w:val="19"/>
              </w:rPr>
              <w:t xml:space="preserve">R9</w:t>
            </w:r>
          </w:p>
        </w:tc>
        <w:tc>
          <w:tcPr>
            <w:tcW w:type="dxa" w:w="408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Benchmark salaries against market rates across all 10 departments. 'Higher Salary' and 'Better Opportunity' together account for 19.6% of exits.</w:t>
            </w:r>
          </w:p>
        </w:tc>
        <w:tc>
          <w:tcPr>
            <w:tcW w:type="dxa" w:w="488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Higher Salary: 1,600 exits (9.8%). Better Opportunity: 1,608 exits (9.8%). Combined: ~3,200 potentially preventable exits.</w:t>
            </w:r>
          </w:p>
        </w:tc>
      </w:tr>
    </w:tbl>
    <w:p>
      <w:pPr>
        <w:spacing w:after="200"/>
      </w:pPr>
      <w:r>
        <w:t xml:space="preserve"/>
      </w:r>
    </w:p>
    <w:p>
      <w:pPr>
        <w:pageBreakBefore/>
      </w:pPr>
      <w:r>
        <w:t xml:space="preserve"/>
      </w:r>
    </w:p>
    <w:p>
      <w:pPr>
        <w:pBdr>
          <w:bottom w:val="single" w:color="1B6DB5" w:sz="6" w:space="4"/>
        </w:pBdr>
        <w:spacing w:after="100" w:before="360"/>
      </w:pPr>
      <w:r>
        <w:rPr>
          <w:rFonts w:ascii="Calibri" w:cs="Calibri" w:eastAsia="Calibri" w:hAnsi="Calibri"/>
          <w:b/>
          <w:bCs/>
          <w:color w:val="0D2B55"/>
          <w:sz w:val="32"/>
          <w:szCs w:val="32"/>
        </w:rPr>
        <w:t xml:space="preserve">9. Summary &amp; Next Steps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1A6B3C" w:sz="12"/>
              <w:bottom w:val="none"/>
              <w:right w:val="none"/>
            </w:tcBorders>
            <w:shd w:fill="D4EFDF" w:val="clear"/>
            <w:tcMar>
              <w:top w:type="dxa" w:w="120"/>
              <w:left w:type="dxa" w:w="24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A6B3C"/>
                <w:sz w:val="19"/>
                <w:szCs w:val="19"/>
              </w:rPr>
              <w:t xml:space="preserve">Summary</w:t>
            </w:r>
          </w:p>
          <w:p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The organisation's 34.9% attrition rate is driven by identifiable, addressable factors. Overtime is the single largest driver. Poor work-life balance, frequent business travel, and single marital status are the next most significant. Exit reasons are broadly distributed with no dominant single cause, indicating a need for a multi-faceted retention strategy. High performers are leaving at nearly the same rate as average performers — a critical gap in current retention practice.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B6DB5"/>
          <w:sz w:val="24"/>
          <w:szCs w:val="24"/>
        </w:rPr>
        <w:t xml:space="preserve">Immediate next steps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Share this report with HRBP team for department-level validation (1 week)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Present Recommendation R1 (overtime audit) to department heads for approval (2 weeks)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Design and launch Work-Life Balance pulse survey to the 4,816 Poor-WLB employees (3 weeks)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Initiate market salary benchmarking exercise in partnership with Total Rewards team (4 weeks)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Schedule quarterly attrition review cadence using this report as the baseline (ongoing)</w:t>
      </w:r>
    </w:p>
    <w:p>
      <w:pPr>
        <w:spacing w:after="100"/>
      </w:pPr>
      <w:r>
        <w:t xml:space="preserve"/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B6DB5"/>
          <w:sz w:val="24"/>
          <w:szCs w:val="24"/>
        </w:rPr>
        <w:t xml:space="preserve">Data limitations to note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The attrition rate of 34.9% includes all separations. Voluntary vs involuntary exit breakdown would sharpen these insights if available from the HRIS.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Exit reason data is self-reported at the exit interview stage and may be subject to social desirability bias — employees may underreport sensitive reasons such as Manager Conflict.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The analysis is cross-sectional. A longitudinal view incorporating monthly attrition trends would strengthen causal inference about driver factors.</w:t>
      </w:r>
    </w:p>
    <w:p>
      <w:pPr>
        <w:spacing w:after="200"/>
      </w:pPr>
      <w:r>
        <w:t xml:space="preserve"/>
      </w:r>
    </w:p>
    <w:p>
      <w:pPr>
        <w:pBdr>
          <w:top w:val="single" w:color="D5DCE4" w:sz="4" w:space="6"/>
        </w:pBdr>
        <w:spacing w:before="200"/>
        <w:jc w:val="center"/>
      </w:pPr>
      <w:r>
        <w:rPr>
          <w:rFonts w:ascii="Calibri" w:cs="Calibri" w:eastAsia="Calibri" w:hAnsi="Calibri"/>
          <w:i/>
          <w:iCs/>
          <w:color w:val="5D6D7E"/>
          <w:sz w:val="16"/>
          <w:szCs w:val="16"/>
        </w:rPr>
        <w:t xml:space="preserve">Employee Attrition Analysis Report  |  Data Analytics Team  |  April 2026  |  Based on employee_attrition_final.csv (47,566 records)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5DCE4" w:sz="2" w:space="4"/>
      </w:pBdr>
      <w:jc w:val="center"/>
    </w:pPr>
    <w:r>
      <w:rPr>
        <w:rFonts w:ascii="Calibri" w:cs="Calibri" w:eastAsia="Calibri" w:hAnsi="Calibri"/>
        <w:color w:val="5D6D7E"/>
        <w:sz w:val="16"/>
        <w:szCs w:val="16"/>
      </w:rPr>
      <w:t xml:space="preserve">Confidential — Internal Use Only  |  Page </w:t>
    </w:r>
    <w:r>
      <w:rPr>
        <w:rFonts w:ascii="Calibri" w:cs="Calibri" w:eastAsia="Calibri" w:hAnsi="Calibri"/>
        <w:color w:val="5D6D7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D6D7E"/>
        <w:sz w:val="16"/>
        <w:szCs w:val="16"/>
      </w:rPr>
      <w:t xml:space="preserve"> of </w:t>
    </w:r>
    <w:r>
      <w:rPr>
        <w:rFonts w:ascii="Calibri" w:cs="Calibri" w:eastAsia="Calibri" w:hAnsi="Calibri"/>
        <w:color w:val="5D6D7E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4500"/>
      <w:gridCol w:w="4860"/>
    </w:tblGrid>
    <w:tr>
      <w:tc>
        <w:tcPr>
          <w:tcW w:type="dxa" w:w="4500"/>
          <w:tcBorders>
            <w:top w:val="none"/>
            <w:left w:val="none"/>
            <w:bottom w:val="none"/>
            <w:right w:val="none"/>
          </w:tcBorders>
        </w:tcPr>
        <w:p>
          <w:r>
            <w:rPr>
              <w:rFonts w:ascii="Calibri" w:cs="Calibri" w:eastAsia="Calibri" w:hAnsi="Calibri"/>
              <w:b/>
              <w:bCs/>
              <w:color w:val="0D2B55"/>
              <w:sz w:val="17"/>
              <w:szCs w:val="17"/>
            </w:rPr>
            <w:t xml:space="preserve">EMPLOYEE ATTRITION ANALYSIS REPORT</w:t>
          </w:r>
        </w:p>
      </w:tc>
      <w:tc>
        <w:tcPr>
          <w:tcW w:type="dxa" w:w="4860"/>
          <w:tcBorders>
            <w:top w:val="none"/>
            <w:left w:val="none"/>
            <w:bottom w:val="none"/>
            <w:right w:val="none"/>
          </w:tcBorders>
        </w:tcPr>
        <w:p>
          <w:pPr>
            <w:jc w:val="right"/>
          </w:pPr>
          <w:r>
            <w:rPr>
              <w:rFonts w:ascii="Calibri" w:cs="Calibri" w:eastAsia="Calibri" w:hAnsi="Calibri"/>
              <w:i/>
              <w:iCs/>
              <w:color w:val="5D6D7E"/>
              <w:sz w:val="16"/>
              <w:szCs w:val="16"/>
            </w:rPr>
            <w:t xml:space="preserve">Data Analytics Team  |  April 2026  |  Confidential</w:t>
          </w:r>
        </w:p>
      </w:tc>
    </w:tr>
  </w:tbl>
  <w:p>
    <w:pPr>
      <w:pBdr>
        <w:bottom w:val="single" w:color="1B6DB5" w:sz="4" w:space="4"/>
      </w:pBdr>
    </w:pPr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360"/>
      <w:outlineLvl w:val="0"/>
    </w:pPr>
    <w:rPr>
      <w:rFonts w:ascii="Calibri" w:cs="Calibri" w:eastAsia="Calibri" w:hAnsi="Calibri"/>
      <w:b/>
      <w:bCs/>
      <w:color w:val="0D2B5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Calibri" w:cs="Calibri" w:eastAsia="Calibri" w:hAnsi="Calibri"/>
      <w:b/>
      <w:bCs/>
      <w:color w:val="1B6DB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2026-04-20T08:15:07.081Z</dcterms:created>
  <dcterms:modified xsi:type="dcterms:W3CDTF">2026-04-20T08:15:07.082Z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