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SOURAV DEY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Data Analyst | Biostatistician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Kolkata, India  |  +91 9007552583  |  dey.stats@gmail.com</w:t>
      </w:r>
    </w:p>
    <w:p>
      <w:pPr>
        <w:pBdr>
          <w:bottom w:val="single" w:color="1F3864" w:sz="6" w:space="1"/>
        </w:pBdr>
        <w:spacing w:after="120"/>
      </w:pPr>
    </w:p>
    <w:p>
      <w:pPr>
        <w:pBdr>
          <w:bottom w:val="single" w:color="1F3864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Statistics graduate student (MS, 9.0/10 CGPA) with hands-on experience turning raw survey, clinical-trial, and economic data into decision-ready findings using R and Python. Applied regression modeling, missing-data imputation, and sensitivity analysis to a Phase II clinical trial dataset; delivered independent statistical analyses spanning labor economics, education policy, and behavioral surveys. Comfortable owning a dataset end-to-end — cleaning, modeling, visualizing, and writing up results for a non-technical audience.</w:t>
      </w:r>
    </w:p>
    <w:p>
      <w:pPr>
        <w:pBdr>
          <w:bottom w:val="single" w:color="1F3864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CORE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 &amp; Tools: </w:t>
      </w:r>
      <w:r>
        <w:rPr>
          <w:rFonts w:ascii="Calibri" w:cs="Calibri" w:eastAsia="Calibri" w:hAnsi="Calibri"/>
          <w:sz w:val="21"/>
          <w:szCs w:val="21"/>
        </w:rPr>
        <w:t xml:space="preserve">R (RStudio), Python (pandas, statsmodels, scikit-learn), SQL (RSQLite), Power BI, MS Excel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Statistical Methods: </w:t>
      </w:r>
      <w:r>
        <w:rPr>
          <w:rFonts w:ascii="Calibri" w:cs="Calibri" w:eastAsia="Calibri" w:hAnsi="Calibri"/>
          <w:sz w:val="21"/>
          <w:szCs w:val="21"/>
        </w:rPr>
        <w:t xml:space="preserve">Regression &amp; GLMs, Survival/Clinical-Trial Analysis, Missing-Data Imputation, Hypothesis Testing, Time Series, Sampling &amp; Survey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Applied Areas: </w:t>
      </w:r>
      <w:r>
        <w:rPr>
          <w:rFonts w:ascii="Calibri" w:cs="Calibri" w:eastAsia="Calibri" w:hAnsi="Calibri"/>
          <w:sz w:val="21"/>
          <w:szCs w:val="21"/>
        </w:rPr>
        <w:t xml:space="preserve">Biostatistics, Risk &amp; Predictive Modeling, Data Visualization, Applied Machine Learning, Econometrics</w:t>
      </w:r>
    </w:p>
    <w:p>
      <w:pPr>
        <w:pBdr>
          <w:bottom w:val="single" w:color="1F3864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APPLIED PROJECTS</w:t>
      </w:r>
    </w:p>
    <w:p>
      <w:pPr>
        <w:tabs>
          <w:tab w:val="right" w:pos="1008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Statistical Analysis of a Contaminated Phase II RCT — Antihypertensive Efficacy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Mar – Apr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Modeled treatment efficacy from a compromised trial dataset using regression analysis, missing-data imputation, and sensitivity testing to validate robustness of conclusions.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Delivered a defensible efficacy assessment despite data contamination, applying methods directly transferable to pharma/CRO biostatistics workflows.</w:t>
      </w:r>
    </w:p>
    <w:p>
      <w:pPr>
        <w:tabs>
          <w:tab w:val="right" w:pos="1008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Survey Study — Impact of Social Networking on Student Academic Outcomes (Kolkata)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Apr – May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Designed and ran a survey-based study; applied exploratory data analysis, regression, and hypothesis testing to quantify the relationship between social media use and academic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Translated statistical output into plain-language findings for a non-technical readership.</w:t>
      </w:r>
    </w:p>
    <w:p>
      <w:pPr>
        <w:tabs>
          <w:tab w:val="right" w:pos="1008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Statistical Analysis of Educational Development in West Bengal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Mar – Apr 2024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Analyzed literacy, enrollment, and infrastructure data to identify regional disparities, using descriptive analytics and data visualization to support the findings.</w:t>
      </w:r>
    </w:p>
    <w:p>
      <w:pPr>
        <w:tabs>
          <w:tab w:val="right" w:pos="1008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Trend Analysis of Unemployment in India Since Independence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Aug – Nov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 longitudinal analysis of national unemployment data against policy and economic indicators to evaluate labor-market dynamics over seven decades.</w:t>
      </w:r>
    </w:p>
    <w:p>
      <w:pPr>
        <w:pBdr>
          <w:bottom w:val="single" w:color="1F3864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MS in Statistics — Presidency University, Kolkata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Sep 2025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Current CGPA: 9.0 / 10</w:t>
      </w:r>
    </w:p>
    <w:p>
      <w:pPr>
        <w:tabs>
          <w:tab w:val="right" w:pos="10080"/>
        </w:tabs>
        <w:spacing w:after="2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BS in Statistics with Honours — Presidency University, Kolkata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Sep 2022 – Jul 2025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Final Grade: A (7.736/10)  |  INSPIRE Scholar, 2022–Present</w:t>
      </w:r>
    </w:p>
    <w:p>
      <w:pPr>
        <w:pBdr>
          <w:bottom w:val="single" w:color="1F3864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Ranked 12th in the WBCHSE Higher Secondary Examination, scoring 487/500 (Grade 'O' — Outstanding).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INSPIRE Scholarship recipient (Dept. of Science &amp; Technology, Govt. of India), 2022–present.</w:t>
      </w:r>
    </w:p>
    <w:p>
      <w:pPr>
        <w:pBdr>
          <w:bottom w:val="single" w:color="1F3864" w:sz="4" w:space="2"/>
        </w:pBdr>
        <w:spacing w:after="60" w:before="18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ADDITIONAL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Interests: </w:t>
      </w:r>
      <w:r>
        <w:rPr>
          <w:rFonts w:ascii="Calibri" w:cs="Calibri" w:eastAsia="Calibri" w:hAnsi="Calibri"/>
          <w:sz w:val="21"/>
          <w:szCs w:val="21"/>
        </w:rPr>
        <w:t xml:space="preserve">Open-source R visualization libraries, LaTeX/LyX academic typesetting, strategic/analytical games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Bengali (native), English (Professional — C2 Listening, C1 Reading, B2 Writing/Speaking)</w:t>
      </w:r>
    </w:p>
    <w:sectPr>
      <w:pgSz w:w="12240" w:h="15840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2026-07-19T07:13:01.901Z</dcterms:created>
  <dcterms:modified xsi:type="dcterms:W3CDTF">2026-07-19T07:13:01.901Z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