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default" w:ascii="Arial Black" w:hAnsi="Arial Black" w:cs="Arial Black"/>
          <w:b/>
          <w:bCs/>
          <w:sz w:val="22"/>
          <w:szCs w:val="22"/>
        </w:rPr>
      </w:pPr>
      <w:r>
        <w:rPr>
          <w:rFonts w:hint="default" w:ascii="Arial Black" w:hAnsi="Arial Black" w:cs="Arial Black"/>
          <w:b/>
          <w:bCs/>
          <w:sz w:val="22"/>
          <w:szCs w:val="22"/>
        </w:rPr>
        <w:t xml:space="preserve">Predicting Four drug Combination Cytotoxicity with Autonomous Robotic Platform Driven by an Active </w:t>
      </w:r>
      <w:r>
        <w:rPr>
          <w:rFonts w:hint="default" w:ascii="Arial Black" w:hAnsi="Arial Black" w:cs="Arial Black"/>
          <w:b/>
          <w:bCs/>
          <w:sz w:val="22"/>
          <w:szCs w:val="22"/>
        </w:rPr>
        <w:t xml:space="preserve">Deep </w:t>
      </w:r>
      <w:bookmarkStart w:id="1" w:name="_GoBack"/>
      <w:bookmarkEnd w:id="1"/>
      <w:r>
        <w:rPr>
          <w:rFonts w:hint="default" w:ascii="Arial Black" w:hAnsi="Arial Black" w:cs="Arial Black"/>
          <w:b/>
          <w:bCs/>
          <w:sz w:val="22"/>
          <w:szCs w:val="22"/>
        </w:rPr>
        <w:t>Learning Algorithm</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both"/>
        <w:rPr>
          <w:rFonts w:ascii="Open Sans" w:hAnsi="Open Sans" w:eastAsia="Open Sans" w:cs="Open Sans"/>
          <w:b/>
          <w:i w:val="0"/>
          <w:caps w:val="0"/>
          <w:color w:val="4D5051"/>
          <w:spacing w:val="0"/>
          <w:sz w:val="24"/>
          <w:szCs w:val="24"/>
        </w:rPr>
      </w:pPr>
      <w:r>
        <w:rPr>
          <w:rFonts w:hint="default" w:asciiTheme="minorHAnsi" w:hAnsiTheme="minorHAnsi" w:eastAsiaTheme="minorEastAsia" w:cstheme="minorBidi"/>
          <w:b w:val="0"/>
          <w:bCs w:val="0"/>
          <w:kern w:val="2"/>
          <w:sz w:val="20"/>
          <w:szCs w:val="20"/>
          <w:lang w:val="en-US" w:eastAsia="zh-CN" w:bidi="ar-SA"/>
        </w:rPr>
        <w:t>Eric Li,</w:t>
      </w:r>
      <w:r>
        <w:rPr>
          <w:rFonts w:hint="default" w:asciiTheme="minorHAnsi" w:hAnsiTheme="minorHAnsi" w:eastAsiaTheme="minorEastAsia" w:cstheme="minorBidi"/>
          <w:b w:val="0"/>
          <w:bCs w:val="0"/>
          <w:kern w:val="2"/>
          <w:sz w:val="20"/>
          <w:szCs w:val="20"/>
          <w:lang w:eastAsia="zh-CN" w:bidi="ar-SA"/>
        </w:rPr>
        <w:t xml:space="preserve"> </w:t>
      </w:r>
      <w:r>
        <w:rPr>
          <w:rFonts w:hint="default" w:asciiTheme="minorHAnsi" w:hAnsiTheme="minorHAnsi" w:eastAsiaTheme="minorEastAsia" w:cstheme="minorBidi"/>
          <w:b w:val="0"/>
          <w:bCs w:val="0"/>
          <w:kern w:val="2"/>
          <w:sz w:val="20"/>
          <w:szCs w:val="20"/>
          <w:lang w:val="en-US" w:eastAsia="zh-CN" w:bidi="ar-SA"/>
        </w:rPr>
        <w:t>Brittany Gomez</w:t>
      </w:r>
      <w:r>
        <w:rPr>
          <w:rFonts w:hint="default" w:asciiTheme="minorHAnsi" w:hAnsiTheme="minorHAnsi" w:eastAsiaTheme="minorEastAsia" w:cstheme="minorBidi"/>
          <w:b w:val="0"/>
          <w:bCs w:val="0"/>
          <w:kern w:val="2"/>
          <w:sz w:val="20"/>
          <w:szCs w:val="20"/>
          <w:lang w:eastAsia="zh-CN" w:bidi="ar-SA"/>
        </w:rPr>
        <w:t>, Matthew Mo</w:t>
      </w:r>
    </w:p>
    <w:p>
      <w:pPr>
        <w:numPr>
          <w:ilvl w:val="0"/>
          <w:numId w:val="0"/>
        </w:numPr>
        <w:rPr>
          <w:b/>
          <w:bCs/>
        </w:rPr>
      </w:pPr>
    </w:p>
    <w:p>
      <w:pPr>
        <w:numPr>
          <w:ilvl w:val="0"/>
          <w:numId w:val="0"/>
        </w:numPr>
        <w:rPr>
          <w:rFonts w:hint="default" w:ascii="Arial Black" w:hAnsi="Arial Black" w:cs="Arial Black"/>
          <w:b/>
          <w:bCs/>
          <w:sz w:val="22"/>
          <w:szCs w:val="22"/>
        </w:rPr>
      </w:pPr>
      <w:r>
        <w:rPr>
          <w:rFonts w:hint="default" w:ascii="Arial Black" w:hAnsi="Arial Black" w:cs="Arial Black"/>
          <w:b/>
          <w:bCs/>
          <w:sz w:val="22"/>
          <w:szCs w:val="22"/>
        </w:rPr>
        <w:t xml:space="preserve">Introduction </w:t>
      </w:r>
      <w:r>
        <w:rPr>
          <w:rFonts w:hint="default"/>
          <w:b w:val="0"/>
          <w:bCs w:val="0"/>
        </w:rPr>
        <w:t>(</w:t>
      </w:r>
      <w:r>
        <w:rPr>
          <w:rFonts w:hint="default"/>
          <w:b w:val="0"/>
          <w:bCs w:val="0"/>
          <w:lang w:val="en-US" w:eastAsia="zh-CN"/>
        </w:rPr>
        <w:t>Brittany</w:t>
      </w:r>
      <w:r>
        <w:rPr>
          <w:rFonts w:hint="default"/>
          <w:b w:val="0"/>
          <w:bCs w:val="0"/>
        </w:rPr>
        <w:t>)</w:t>
      </w:r>
    </w:p>
    <w:p>
      <w:pPr>
        <w:numPr>
          <w:ilvl w:val="0"/>
          <w:numId w:val="0"/>
        </w:numPr>
        <w:rPr>
          <w:rFonts w:hint="default" w:ascii="Arial Black" w:hAnsi="Arial Black" w:cs="Arial Black"/>
          <w:b/>
          <w:bCs/>
          <w:sz w:val="22"/>
          <w:szCs w:val="22"/>
        </w:rPr>
      </w:pPr>
    </w:p>
    <w:p>
      <w:pPr>
        <w:numPr>
          <w:ilvl w:val="0"/>
          <w:numId w:val="0"/>
        </w:numPr>
        <w:rPr>
          <w:rFonts w:hint="default" w:ascii="Arial Black" w:hAnsi="Arial Black" w:cs="Arial Black"/>
          <w:b/>
          <w:bCs/>
          <w:sz w:val="22"/>
          <w:szCs w:val="22"/>
        </w:rPr>
      </w:pPr>
      <w:r>
        <w:rPr>
          <w:rFonts w:hint="default" w:ascii="Arial Black" w:hAnsi="Arial Black" w:cs="Arial Black"/>
          <w:b/>
          <w:bCs/>
          <w:sz w:val="22"/>
          <w:szCs w:val="22"/>
        </w:rPr>
        <w:t>Results</w:t>
      </w:r>
    </w:p>
    <w:p>
      <w:pPr>
        <w:numPr>
          <w:ilvl w:val="0"/>
          <w:numId w:val="0"/>
        </w:numPr>
        <w:rPr>
          <w:rFonts w:hint="default"/>
          <w:b/>
          <w:bCs/>
        </w:rPr>
      </w:pPr>
      <w:r>
        <w:rPr>
          <w:rFonts w:hint="default"/>
          <w:b/>
          <w:bCs/>
        </w:rPr>
        <w:t xml:space="preserve">Simulations </w:t>
      </w:r>
      <w:r>
        <w:rPr>
          <w:rFonts w:hint="default"/>
          <w:b w:val="0"/>
          <w:bCs w:val="0"/>
        </w:rPr>
        <w:t>(Matt)</w:t>
      </w:r>
    </w:p>
    <w:p>
      <w:pPr>
        <w:numPr>
          <w:ilvl w:val="0"/>
          <w:numId w:val="0"/>
        </w:numPr>
        <w:rPr>
          <w:rFonts w:hint="default"/>
          <w:b/>
          <w:bCs/>
        </w:rPr>
      </w:pPr>
    </w:p>
    <w:p>
      <w:pPr>
        <w:numPr>
          <w:ilvl w:val="0"/>
          <w:numId w:val="0"/>
        </w:numPr>
        <w:rPr>
          <w:rFonts w:hint="default"/>
          <w:b/>
          <w:bCs/>
        </w:rPr>
      </w:pPr>
      <w:r>
        <w:rPr>
          <w:rFonts w:hint="default"/>
          <w:b/>
          <w:bCs/>
        </w:rPr>
        <w:t>Experiments</w:t>
      </w:r>
    </w:p>
    <w:p>
      <w:pPr>
        <w:numPr>
          <w:ilvl w:val="0"/>
          <w:numId w:val="0"/>
        </w:numPr>
        <w:rPr>
          <w:rFonts w:hint="default"/>
          <w:b w:val="0"/>
          <w:bCs w:val="0"/>
        </w:rPr>
      </w:pPr>
      <w:r>
        <w:rPr>
          <w:rFonts w:hint="default"/>
          <w:b w:val="0"/>
          <w:bCs w:val="0"/>
        </w:rPr>
        <w:t xml:space="preserve">According to what drugs are available in the lab and previous researches, we identified 4 drugs to construct the experimental space and decide the concentration range to test. Their names, pharmacology and experiment concentrations are described in </w:t>
      </w:r>
      <w:r>
        <w:rPr>
          <w:rFonts w:hint="default"/>
          <w:b/>
          <w:bCs/>
        </w:rPr>
        <w:t>Table 1</w:t>
      </w:r>
      <w:r>
        <w:rPr>
          <w:rFonts w:hint="default"/>
          <w:b w:val="0"/>
          <w:bCs w:val="0"/>
        </w:rPr>
        <w:t>.</w:t>
      </w:r>
    </w:p>
    <w:p>
      <w:pPr>
        <w:numPr>
          <w:ilvl w:val="0"/>
          <w:numId w:val="0"/>
        </w:numPr>
        <w:rPr>
          <w:rFonts w:hint="default"/>
          <w:b w:val="0"/>
          <w:bCs w:val="0"/>
        </w:rPr>
      </w:pPr>
    </w:p>
    <w:p>
      <w:pPr>
        <w:numPr>
          <w:ilvl w:val="0"/>
          <w:numId w:val="0"/>
        </w:numPr>
        <w:jc w:val="center"/>
        <w:rPr>
          <w:rFonts w:hint="default"/>
          <w:b w:val="0"/>
          <w:bCs w:val="0"/>
          <w:color w:val="7F7F7F" w:themeColor="background1" w:themeShade="80"/>
          <w:sz w:val="16"/>
          <w:szCs w:val="16"/>
        </w:rPr>
      </w:pPr>
      <w:r>
        <w:rPr>
          <w:rFonts w:hint="default"/>
          <w:b/>
          <w:bCs/>
          <w:color w:val="595959" w:themeColor="text1" w:themeTint="A6"/>
          <w:sz w:val="16"/>
          <w:szCs w:val="16"/>
          <w14:textFill>
            <w14:solidFill>
              <w14:schemeClr w14:val="tx1">
                <w14:lumMod w14:val="65000"/>
                <w14:lumOff w14:val="35000"/>
              </w14:schemeClr>
            </w14:solidFill>
          </w14:textFill>
        </w:rPr>
        <w:t xml:space="preserve">Table 1: </w:t>
      </w:r>
      <w:r>
        <w:rPr>
          <w:rFonts w:hint="default"/>
          <w:b w:val="0"/>
          <w:bCs w:val="0"/>
          <w:color w:val="595959" w:themeColor="text1" w:themeTint="A6"/>
          <w:sz w:val="16"/>
          <w:szCs w:val="16"/>
          <w14:textFill>
            <w14:solidFill>
              <w14:schemeClr w14:val="tx1">
                <w14:lumMod w14:val="65000"/>
                <w14:lumOff w14:val="35000"/>
              </w14:schemeClr>
            </w14:solidFill>
          </w14:textFill>
        </w:rPr>
        <w:t>Four drugs used to construct combinations, their pharmacology and experiment concentrations</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5"/>
        <w:gridCol w:w="4389"/>
        <w:gridCol w:w="2228"/>
      </w:tblGrid>
      <w:tr>
        <w:tc>
          <w:tcPr>
            <w:tcW w:w="0" w:type="auto"/>
            <w:tcBorders>
              <w:top w:val="single" w:color="auto" w:sz="8" w:space="0"/>
              <w:left w:val="nil"/>
              <w:bottom w:val="single" w:color="auto" w:sz="8" w:space="0"/>
              <w:right w:val="nil"/>
            </w:tcBorders>
          </w:tcPr>
          <w:p>
            <w:pPr>
              <w:numPr>
                <w:ilvl w:val="0"/>
                <w:numId w:val="0"/>
              </w:numPr>
              <w:rPr>
                <w:rFonts w:hint="default"/>
                <w:b/>
                <w:bCs/>
                <w:sz w:val="18"/>
                <w:szCs w:val="18"/>
                <w:vertAlign w:val="baseline"/>
              </w:rPr>
            </w:pPr>
            <w:r>
              <w:rPr>
                <w:rFonts w:hint="default"/>
                <w:b/>
                <w:bCs/>
                <w:sz w:val="18"/>
                <w:szCs w:val="18"/>
              </w:rPr>
              <w:t>Drugs</w:t>
            </w:r>
          </w:p>
        </w:tc>
        <w:tc>
          <w:tcPr>
            <w:tcW w:w="0" w:type="auto"/>
            <w:tcBorders>
              <w:top w:val="single" w:color="auto" w:sz="8" w:space="0"/>
              <w:left w:val="nil"/>
              <w:bottom w:val="single" w:color="auto" w:sz="8" w:space="0"/>
              <w:right w:val="nil"/>
            </w:tcBorders>
          </w:tcPr>
          <w:p>
            <w:pPr>
              <w:numPr>
                <w:ilvl w:val="0"/>
                <w:numId w:val="0"/>
              </w:numPr>
              <w:rPr>
                <w:rFonts w:hint="default"/>
                <w:b/>
                <w:bCs/>
                <w:sz w:val="18"/>
                <w:szCs w:val="18"/>
                <w:vertAlign w:val="baseline"/>
              </w:rPr>
            </w:pPr>
            <w:r>
              <w:rPr>
                <w:rFonts w:hint="default"/>
                <w:b/>
                <w:bCs/>
                <w:sz w:val="18"/>
                <w:szCs w:val="18"/>
                <w:vertAlign w:val="baseline"/>
              </w:rPr>
              <w:t>Pharmacology</w:t>
            </w:r>
          </w:p>
        </w:tc>
        <w:tc>
          <w:tcPr>
            <w:tcW w:w="0" w:type="auto"/>
            <w:tcBorders>
              <w:top w:val="single" w:color="auto" w:sz="8" w:space="0"/>
              <w:left w:val="nil"/>
              <w:bottom w:val="single" w:color="auto" w:sz="8" w:space="0"/>
              <w:right w:val="nil"/>
            </w:tcBorders>
          </w:tcPr>
          <w:p>
            <w:pPr>
              <w:numPr>
                <w:ilvl w:val="0"/>
                <w:numId w:val="0"/>
              </w:numPr>
              <w:rPr>
                <w:rFonts w:hint="default"/>
                <w:b/>
                <w:bCs/>
                <w:sz w:val="18"/>
                <w:szCs w:val="18"/>
                <w:vertAlign w:val="baseline"/>
              </w:rPr>
            </w:pPr>
            <w:r>
              <w:rPr>
                <w:rFonts w:hint="default"/>
                <w:b/>
                <w:bCs/>
                <w:sz w:val="18"/>
                <w:szCs w:val="18"/>
                <w:vertAlign w:val="baseline"/>
              </w:rPr>
              <w:t>Concentrations (μM)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Borders>
              <w:top w:val="single" w:color="auto" w:sz="8" w:space="0"/>
              <w:left w:val="nil"/>
              <w:bottom w:val="nil"/>
              <w:right w:val="nil"/>
            </w:tcBorders>
          </w:tcPr>
          <w:p>
            <w:pPr>
              <w:numPr>
                <w:ilvl w:val="0"/>
                <w:numId w:val="0"/>
              </w:numPr>
              <w:rPr>
                <w:rFonts w:hint="default"/>
                <w:b w:val="0"/>
                <w:bCs w:val="0"/>
                <w:sz w:val="18"/>
                <w:szCs w:val="18"/>
                <w:vertAlign w:val="baseline"/>
              </w:rPr>
            </w:pPr>
            <w:r>
              <w:rPr>
                <w:rFonts w:hint="default"/>
                <w:b w:val="0"/>
                <w:bCs w:val="0"/>
                <w:sz w:val="18"/>
                <w:szCs w:val="18"/>
              </w:rPr>
              <w:t>(+)-Griseofulvin</w:t>
            </w:r>
          </w:p>
        </w:tc>
        <w:tc>
          <w:tcPr>
            <w:tcW w:w="0" w:type="auto"/>
            <w:tcBorders>
              <w:top w:val="single" w:color="auto" w:sz="8" w:space="0"/>
              <w:left w:val="nil"/>
              <w:bottom w:val="nil"/>
              <w:right w:val="nil"/>
            </w:tcBorders>
          </w:tcPr>
          <w:p>
            <w:pPr>
              <w:numPr>
                <w:ilvl w:val="0"/>
                <w:numId w:val="0"/>
              </w:numPr>
              <w:rPr>
                <w:rFonts w:hint="default"/>
                <w:b w:val="0"/>
                <w:bCs w:val="0"/>
                <w:sz w:val="18"/>
                <w:szCs w:val="18"/>
                <w:vertAlign w:val="baseline"/>
              </w:rPr>
            </w:pPr>
            <w:r>
              <w:rPr>
                <w:rFonts w:hint="default"/>
                <w:b w:val="0"/>
                <w:bCs w:val="0"/>
                <w:sz w:val="18"/>
                <w:szCs w:val="18"/>
              </w:rPr>
              <w:t xml:space="preserve">Griseofulvin is used to treat skin infections, especially fungal infections. Yih-Huei Uen </w:t>
            </w:r>
            <w:r>
              <w:rPr>
                <w:rFonts w:hint="default"/>
                <w:b w:val="0"/>
                <w:bCs w:val="0"/>
                <w:i/>
                <w:iCs/>
                <w:sz w:val="18"/>
                <w:szCs w:val="18"/>
              </w:rPr>
              <w:t>et al.</w:t>
            </w:r>
            <w:r>
              <w:rPr>
                <w:rFonts w:hint="default"/>
                <w:b w:val="0"/>
                <w:bCs w:val="0"/>
                <w:sz w:val="18"/>
                <w:szCs w:val="18"/>
              </w:rPr>
              <w:t xml:space="preserve"> reported that it can induce apoptosis in HL-60 cells.</w:t>
            </w:r>
            <w:r>
              <w:rPr>
                <w:rFonts w:hint="default"/>
                <w:b w:val="0"/>
                <w:bCs w:val="0"/>
                <w:sz w:val="18"/>
                <w:szCs w:val="18"/>
                <w:vertAlign w:val="superscript"/>
              </w:rPr>
              <w:t>2</w:t>
            </w:r>
          </w:p>
        </w:tc>
        <w:tc>
          <w:tcPr>
            <w:tcW w:w="0" w:type="auto"/>
            <w:tcBorders>
              <w:top w:val="single" w:color="auto" w:sz="8" w:space="0"/>
              <w:left w:val="nil"/>
              <w:bottom w:val="nil"/>
              <w:right w:val="nil"/>
            </w:tcBorders>
          </w:tcPr>
          <w:p>
            <w:pPr>
              <w:numPr>
                <w:ilvl w:val="0"/>
                <w:numId w:val="0"/>
              </w:numPr>
              <w:rPr>
                <w:rFonts w:hint="default"/>
                <w:b w:val="0"/>
                <w:bCs w:val="0"/>
                <w:sz w:val="18"/>
                <w:szCs w:val="18"/>
                <w:vertAlign w:val="baseline"/>
              </w:rPr>
            </w:pPr>
            <w:r>
              <w:rPr>
                <w:rFonts w:hint="default"/>
                <w:b w:val="0"/>
                <w:bCs w:val="0"/>
                <w:sz w:val="18"/>
                <w:szCs w:val="18"/>
                <w:vertAlign w:val="baseline"/>
              </w:rPr>
              <w:t>128, 64, 32, 16, 8, 4, 2, 1, 0.5, 0.25, 0.125, 0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Borders>
              <w:top w:val="nil"/>
              <w:left w:val="nil"/>
              <w:bottom w:val="nil"/>
              <w:right w:val="nil"/>
            </w:tcBorders>
          </w:tcPr>
          <w:p>
            <w:pPr>
              <w:numPr>
                <w:ilvl w:val="0"/>
                <w:numId w:val="0"/>
              </w:numPr>
              <w:rPr>
                <w:rFonts w:hint="default"/>
                <w:b w:val="0"/>
                <w:bCs w:val="0"/>
                <w:sz w:val="18"/>
                <w:szCs w:val="18"/>
                <w:vertAlign w:val="baseline"/>
              </w:rPr>
            </w:pPr>
            <w:r>
              <w:rPr>
                <w:rFonts w:hint="default"/>
                <w:b w:val="0"/>
                <w:bCs w:val="0"/>
                <w:sz w:val="18"/>
                <w:szCs w:val="18"/>
                <w:vertAlign w:val="baseline"/>
              </w:rPr>
              <w:t>(S)-(+)-Camptothecin</w:t>
            </w:r>
          </w:p>
        </w:tc>
        <w:tc>
          <w:tcPr>
            <w:tcW w:w="0" w:type="auto"/>
            <w:tcBorders>
              <w:top w:val="nil"/>
              <w:left w:val="nil"/>
              <w:bottom w:val="nil"/>
              <w:right w:val="nil"/>
            </w:tcBorders>
          </w:tcPr>
          <w:p>
            <w:pPr>
              <w:numPr>
                <w:ilvl w:val="0"/>
                <w:numId w:val="0"/>
              </w:numPr>
              <w:rPr>
                <w:rFonts w:hint="default"/>
                <w:b w:val="0"/>
                <w:bCs w:val="0"/>
                <w:sz w:val="18"/>
                <w:szCs w:val="18"/>
                <w:vertAlign w:val="baseline"/>
              </w:rPr>
            </w:pPr>
            <w:r>
              <w:rPr>
                <w:rFonts w:hint="default"/>
                <w:b w:val="0"/>
                <w:bCs w:val="0"/>
                <w:sz w:val="18"/>
                <w:szCs w:val="18"/>
                <w:vertAlign w:val="baseline"/>
              </w:rPr>
              <w:t xml:space="preserve">Camptothecin is a topoisomerase inhibitor. It showed anticancer activity in preliminary clinical trials. T Shimizu </w:t>
            </w:r>
            <w:r>
              <w:rPr>
                <w:rFonts w:hint="default"/>
                <w:b w:val="0"/>
                <w:bCs w:val="0"/>
                <w:i/>
                <w:iCs/>
                <w:sz w:val="18"/>
                <w:szCs w:val="18"/>
                <w:vertAlign w:val="baseline"/>
              </w:rPr>
              <w:t xml:space="preserve">et al. </w:t>
            </w:r>
            <w:r>
              <w:rPr>
                <w:rFonts w:hint="default"/>
                <w:b w:val="0"/>
                <w:bCs w:val="0"/>
                <w:i w:val="0"/>
                <w:iCs w:val="0"/>
                <w:sz w:val="18"/>
                <w:szCs w:val="18"/>
                <w:vertAlign w:val="baseline"/>
              </w:rPr>
              <w:t>found that it can induce apoptosis in p53-null human leukemia HL60 cells.</w:t>
            </w:r>
            <w:r>
              <w:rPr>
                <w:rFonts w:hint="default"/>
                <w:b w:val="0"/>
                <w:bCs w:val="0"/>
                <w:i w:val="0"/>
                <w:iCs w:val="0"/>
                <w:sz w:val="18"/>
                <w:szCs w:val="18"/>
                <w:vertAlign w:val="superscript"/>
              </w:rPr>
              <w:t>3</w:t>
            </w:r>
          </w:p>
        </w:tc>
        <w:tc>
          <w:tcPr>
            <w:tcW w:w="0" w:type="auto"/>
            <w:tcBorders>
              <w:top w:val="nil"/>
              <w:left w:val="nil"/>
              <w:bottom w:val="nil"/>
              <w:right w:val="nil"/>
            </w:tcBorders>
          </w:tcPr>
          <w:p>
            <w:pPr>
              <w:numPr>
                <w:ilvl w:val="0"/>
                <w:numId w:val="0"/>
              </w:numPr>
              <w:rPr>
                <w:rFonts w:hint="default"/>
                <w:b w:val="0"/>
                <w:bCs w:val="0"/>
                <w:sz w:val="18"/>
                <w:szCs w:val="18"/>
                <w:vertAlign w:val="baseline"/>
              </w:rPr>
            </w:pPr>
            <w:r>
              <w:rPr>
                <w:rFonts w:hint="default"/>
                <w:b w:val="0"/>
                <w:bCs w:val="0"/>
                <w:sz w:val="18"/>
                <w:szCs w:val="18"/>
                <w:vertAlign w:val="baseline"/>
              </w:rPr>
              <w:t xml:space="preserve">32, 16, 8, 4, 2, 1, 0.5, 0.25, 0.125, 0.0625, 0.03125, 0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Borders>
              <w:top w:val="nil"/>
              <w:left w:val="nil"/>
              <w:bottom w:val="nil"/>
              <w:right w:val="nil"/>
            </w:tcBorders>
          </w:tcPr>
          <w:p>
            <w:pPr>
              <w:numPr>
                <w:ilvl w:val="0"/>
                <w:numId w:val="0"/>
              </w:numPr>
              <w:rPr>
                <w:rFonts w:hint="default"/>
                <w:b w:val="0"/>
                <w:bCs w:val="0"/>
                <w:sz w:val="18"/>
                <w:szCs w:val="18"/>
                <w:vertAlign w:val="baseline"/>
              </w:rPr>
            </w:pPr>
            <w:r>
              <w:rPr>
                <w:rFonts w:hint="default"/>
                <w:b w:val="0"/>
                <w:bCs w:val="0"/>
                <w:sz w:val="18"/>
                <w:szCs w:val="18"/>
                <w:vertAlign w:val="baseline"/>
              </w:rPr>
              <w:t>Chloramphenicol</w:t>
            </w:r>
          </w:p>
        </w:tc>
        <w:tc>
          <w:tcPr>
            <w:tcW w:w="0" w:type="auto"/>
            <w:tcBorders>
              <w:top w:val="nil"/>
              <w:left w:val="nil"/>
              <w:bottom w:val="nil"/>
              <w:right w:val="nil"/>
            </w:tcBorders>
          </w:tcPr>
          <w:p>
            <w:pPr>
              <w:numPr>
                <w:ilvl w:val="0"/>
                <w:numId w:val="0"/>
              </w:numPr>
              <w:rPr>
                <w:rFonts w:hint="default"/>
                <w:b w:val="0"/>
                <w:bCs w:val="0"/>
                <w:sz w:val="18"/>
                <w:szCs w:val="18"/>
                <w:vertAlign w:val="baseline"/>
              </w:rPr>
            </w:pPr>
            <w:r>
              <w:rPr>
                <w:rFonts w:hint="default"/>
                <w:b w:val="0"/>
                <w:bCs w:val="0"/>
                <w:sz w:val="18"/>
                <w:szCs w:val="18"/>
                <w:vertAlign w:val="baseline"/>
              </w:rPr>
              <w:t xml:space="preserve">Chloramphenicol is an antibiotic useful for the treatment of a number of bacterial infections. CT Kong </w:t>
            </w:r>
            <w:r>
              <w:rPr>
                <w:rFonts w:hint="default"/>
                <w:b w:val="0"/>
                <w:bCs w:val="0"/>
                <w:i/>
                <w:iCs/>
                <w:sz w:val="18"/>
                <w:szCs w:val="18"/>
                <w:vertAlign w:val="baseline"/>
              </w:rPr>
              <w:t xml:space="preserve">et al. </w:t>
            </w:r>
            <w:r>
              <w:rPr>
                <w:rFonts w:hint="default"/>
                <w:b w:val="0"/>
                <w:bCs w:val="0"/>
                <w:i w:val="0"/>
                <w:iCs w:val="0"/>
                <w:sz w:val="18"/>
                <w:szCs w:val="18"/>
                <w:vertAlign w:val="baseline"/>
              </w:rPr>
              <w:t>reported that it induce toxicity of human bone marrow and HL-60 cells.</w:t>
            </w:r>
            <w:r>
              <w:rPr>
                <w:rFonts w:hint="default"/>
                <w:b w:val="0"/>
                <w:bCs w:val="0"/>
                <w:i w:val="0"/>
                <w:iCs w:val="0"/>
                <w:sz w:val="18"/>
                <w:szCs w:val="18"/>
                <w:vertAlign w:val="superscript"/>
              </w:rPr>
              <w:t>4</w:t>
            </w:r>
          </w:p>
        </w:tc>
        <w:tc>
          <w:tcPr>
            <w:tcW w:w="0" w:type="auto"/>
            <w:tcBorders>
              <w:top w:val="nil"/>
              <w:left w:val="nil"/>
              <w:bottom w:val="nil"/>
              <w:right w:val="nil"/>
            </w:tcBorders>
          </w:tcPr>
          <w:p>
            <w:pPr>
              <w:numPr>
                <w:ilvl w:val="0"/>
                <w:numId w:val="0"/>
              </w:numPr>
              <w:rPr>
                <w:rFonts w:hint="default"/>
                <w:b w:val="0"/>
                <w:bCs w:val="0"/>
                <w:sz w:val="18"/>
                <w:szCs w:val="18"/>
                <w:vertAlign w:val="baseline"/>
              </w:rPr>
            </w:pPr>
            <w:r>
              <w:rPr>
                <w:rFonts w:hint="default"/>
                <w:b w:val="0"/>
                <w:bCs w:val="0"/>
                <w:sz w:val="18"/>
                <w:szCs w:val="18"/>
                <w:vertAlign w:val="baseline"/>
              </w:rPr>
              <w:t>3200, 1600, 800, 400, 200, 100, 50 ,25, 12.5, 6.25, 3.125, 0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Borders>
              <w:top w:val="nil"/>
              <w:left w:val="nil"/>
              <w:bottom w:val="single" w:color="auto" w:sz="8" w:space="0"/>
              <w:right w:val="nil"/>
            </w:tcBorders>
          </w:tcPr>
          <w:p>
            <w:pPr>
              <w:numPr>
                <w:ilvl w:val="0"/>
                <w:numId w:val="0"/>
              </w:numPr>
              <w:rPr>
                <w:rFonts w:hint="default"/>
                <w:b w:val="0"/>
                <w:bCs w:val="0"/>
                <w:sz w:val="18"/>
                <w:szCs w:val="18"/>
                <w:vertAlign w:val="baseline"/>
              </w:rPr>
            </w:pPr>
            <w:r>
              <w:rPr>
                <w:rFonts w:hint="default"/>
                <w:b w:val="0"/>
                <w:bCs w:val="0"/>
                <w:sz w:val="18"/>
                <w:szCs w:val="18"/>
                <w:vertAlign w:val="baseline"/>
              </w:rPr>
              <w:t>Metformin</w:t>
            </w:r>
          </w:p>
        </w:tc>
        <w:tc>
          <w:tcPr>
            <w:tcW w:w="0" w:type="auto"/>
            <w:tcBorders>
              <w:top w:val="nil"/>
              <w:left w:val="nil"/>
              <w:bottom w:val="single" w:color="auto" w:sz="8" w:space="0"/>
              <w:right w:val="nil"/>
            </w:tcBorders>
          </w:tcPr>
          <w:p>
            <w:pPr>
              <w:numPr>
                <w:ilvl w:val="0"/>
                <w:numId w:val="0"/>
              </w:numPr>
              <w:rPr>
                <w:rFonts w:hint="default"/>
                <w:b w:val="0"/>
                <w:bCs w:val="0"/>
                <w:sz w:val="18"/>
                <w:szCs w:val="18"/>
                <w:vertAlign w:val="baseline"/>
              </w:rPr>
            </w:pPr>
            <w:r>
              <w:rPr>
                <w:rFonts w:hint="default"/>
                <w:b w:val="0"/>
                <w:bCs w:val="0"/>
                <w:sz w:val="18"/>
                <w:szCs w:val="18"/>
                <w:vertAlign w:val="baseline"/>
                <w:lang w:val="en-US" w:eastAsia="zh-CN"/>
              </w:rPr>
              <w:t>Metformin is an oral diabetes medicine that helps control blood sugar levels.</w:t>
            </w:r>
            <w:r>
              <w:rPr>
                <w:rFonts w:hint="default"/>
                <w:b w:val="0"/>
                <w:bCs w:val="0"/>
                <w:sz w:val="18"/>
                <w:szCs w:val="18"/>
                <w:vertAlign w:val="baseline"/>
                <w:lang w:eastAsia="zh-CN"/>
              </w:rPr>
              <w:t xml:space="preserve"> </w:t>
            </w:r>
            <w:bookmarkStart w:id="0" w:name="bau0005"/>
            <w:r>
              <w:rPr>
                <w:rFonts w:hint="default"/>
                <w:b w:val="0"/>
                <w:bCs w:val="0"/>
                <w:color w:val="auto"/>
                <w:sz w:val="18"/>
                <w:szCs w:val="18"/>
                <w:u w:val="none"/>
                <w:vertAlign w:val="baseline"/>
              </w:rPr>
              <w:t>Aycan Asik</w:t>
            </w:r>
            <w:bookmarkEnd w:id="0"/>
            <w:r>
              <w:rPr>
                <w:rFonts w:hint="default"/>
                <w:b w:val="0"/>
                <w:bCs w:val="0"/>
                <w:color w:val="auto"/>
                <w:sz w:val="18"/>
                <w:szCs w:val="18"/>
                <w:u w:val="none"/>
                <w:vertAlign w:val="baseline"/>
              </w:rPr>
              <w:t xml:space="preserve"> </w:t>
            </w:r>
            <w:r>
              <w:rPr>
                <w:rFonts w:hint="default"/>
                <w:b w:val="0"/>
                <w:bCs w:val="0"/>
                <w:i/>
                <w:iCs/>
                <w:sz w:val="18"/>
                <w:szCs w:val="18"/>
                <w:vertAlign w:val="baseline"/>
              </w:rPr>
              <w:t xml:space="preserve">et al. reported it </w:t>
            </w:r>
            <w:r>
              <w:rPr>
                <w:rFonts w:hint="default"/>
                <w:b w:val="0"/>
                <w:bCs w:val="0"/>
                <w:sz w:val="18"/>
                <w:szCs w:val="18"/>
                <w:vertAlign w:val="baseline"/>
              </w:rPr>
              <w:t>antileukemic effect when combined with paclitaxel.</w:t>
            </w:r>
            <w:r>
              <w:rPr>
                <w:rFonts w:hint="default"/>
                <w:b w:val="0"/>
                <w:bCs w:val="0"/>
                <w:sz w:val="18"/>
                <w:szCs w:val="18"/>
                <w:vertAlign w:val="superscript"/>
              </w:rPr>
              <w:t>5</w:t>
            </w:r>
          </w:p>
        </w:tc>
        <w:tc>
          <w:tcPr>
            <w:tcW w:w="0" w:type="auto"/>
            <w:tcBorders>
              <w:top w:val="nil"/>
              <w:left w:val="nil"/>
              <w:bottom w:val="single" w:color="auto" w:sz="8" w:space="0"/>
              <w:right w:val="nil"/>
            </w:tcBorders>
          </w:tcPr>
          <w:p>
            <w:pPr>
              <w:numPr>
                <w:ilvl w:val="0"/>
                <w:numId w:val="0"/>
              </w:numPr>
              <w:rPr>
                <w:rFonts w:hint="default"/>
                <w:b w:val="0"/>
                <w:bCs w:val="0"/>
                <w:sz w:val="18"/>
                <w:szCs w:val="18"/>
                <w:vertAlign w:val="baseline"/>
              </w:rPr>
            </w:pPr>
            <w:r>
              <w:rPr>
                <w:rFonts w:hint="default"/>
                <w:b w:val="0"/>
                <w:bCs w:val="0"/>
                <w:sz w:val="18"/>
                <w:szCs w:val="18"/>
                <w:vertAlign w:val="baseline"/>
              </w:rPr>
              <w:t>512, 256, 128, 64, 32, 16, 8, 4 ,2, 1, 0.5, 0</w:t>
            </w:r>
          </w:p>
        </w:tc>
      </w:tr>
    </w:tbl>
    <w:p>
      <w:pPr>
        <w:numPr>
          <w:ilvl w:val="0"/>
          <w:numId w:val="0"/>
        </w:numPr>
        <w:rPr>
          <w:rFonts w:hint="default"/>
          <w:b w:val="0"/>
          <w:bCs w:val="0"/>
        </w:rPr>
      </w:pPr>
    </w:p>
    <w:p>
      <w:pPr>
        <w:numPr>
          <w:ilvl w:val="0"/>
          <w:numId w:val="0"/>
        </w:numPr>
        <w:rPr>
          <w:rFonts w:hint="default"/>
          <w:b w:val="0"/>
          <w:bCs w:val="0"/>
        </w:rPr>
      </w:pPr>
      <w:r>
        <w:t xml:space="preserve">We used Z-prime score to measure whether our positive control was truly effective. The four positive controls were </w:t>
      </w:r>
      <w:r>
        <w:rPr>
          <w:rFonts w:hint="default"/>
        </w:rPr>
        <w:t xml:space="preserve">8 times the highest experiment concentration of the corresponding drug. The results are summarized in </w:t>
      </w:r>
      <w:r>
        <w:rPr>
          <w:rFonts w:hint="default"/>
          <w:b/>
          <w:bCs/>
        </w:rPr>
        <w:t>Table 2</w:t>
      </w:r>
      <w:r>
        <w:rPr>
          <w:rFonts w:hint="default"/>
          <w:b w:val="0"/>
          <w:bCs w:val="0"/>
        </w:rPr>
        <w:t xml:space="preserve">. </w:t>
      </w:r>
    </w:p>
    <w:p>
      <w:pPr>
        <w:numPr>
          <w:ilvl w:val="0"/>
          <w:numId w:val="0"/>
        </w:numPr>
        <w:rPr>
          <w:rFonts w:hint="default"/>
          <w:b w:val="0"/>
          <w:bCs w:val="0"/>
        </w:rPr>
      </w:pPr>
    </w:p>
    <w:p>
      <w:pPr>
        <w:numPr>
          <w:ilvl w:val="0"/>
          <w:numId w:val="0"/>
        </w:numPr>
        <w:jc w:val="center"/>
      </w:pPr>
      <w:r>
        <w:rPr>
          <w:rFonts w:hint="default"/>
          <w:b/>
          <w:bCs/>
          <w:color w:val="595959" w:themeColor="text1" w:themeTint="A6"/>
          <w:sz w:val="16"/>
          <w:szCs w:val="16"/>
          <w14:textFill>
            <w14:solidFill>
              <w14:schemeClr w14:val="tx1">
                <w14:lumMod w14:val="65000"/>
                <w14:lumOff w14:val="35000"/>
              </w14:schemeClr>
            </w14:solidFill>
          </w14:textFill>
        </w:rPr>
        <w:t>Table 2:</w:t>
      </w:r>
      <w:r>
        <w:rPr>
          <w:rFonts w:hint="default"/>
          <w:b w:val="0"/>
          <w:bCs w:val="0"/>
          <w:color w:val="595959" w:themeColor="text1" w:themeTint="A6"/>
          <w:sz w:val="16"/>
          <w:szCs w:val="16"/>
          <w14:textFill>
            <w14:solidFill>
              <w14:schemeClr w14:val="tx1">
                <w14:lumMod w14:val="65000"/>
                <w14:lumOff w14:val="35000"/>
              </w14:schemeClr>
            </w14:solidFill>
          </w14:textFill>
        </w:rPr>
        <w:t xml:space="preserve"> Z-prime value for positive controls </w:t>
      </w:r>
    </w:p>
    <w:tbl>
      <w:tblPr>
        <w:tblStyle w:val="8"/>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c>
          <w:tcPr>
            <w:tcW w:w="2130" w:type="dxa"/>
            <w:tcBorders>
              <w:bottom w:val="single" w:color="auto" w:sz="8" w:space="0"/>
            </w:tcBorders>
          </w:tcPr>
          <w:p>
            <w:pPr>
              <w:numPr>
                <w:ilvl w:val="0"/>
                <w:numId w:val="0"/>
              </w:numPr>
              <w:rPr>
                <w:rFonts w:hint="default"/>
                <w:b/>
                <w:bCs/>
                <w:sz w:val="18"/>
                <w:szCs w:val="18"/>
                <w:vertAlign w:val="baseline"/>
              </w:rPr>
            </w:pPr>
            <w:r>
              <w:rPr>
                <w:rFonts w:hint="default"/>
                <w:b/>
                <w:bCs/>
                <w:sz w:val="18"/>
                <w:szCs w:val="18"/>
                <w:vertAlign w:val="baseline"/>
              </w:rPr>
              <w:t>(+)-Griseofulvin</w:t>
            </w:r>
          </w:p>
        </w:tc>
        <w:tc>
          <w:tcPr>
            <w:tcW w:w="2130" w:type="dxa"/>
            <w:tcBorders>
              <w:bottom w:val="single" w:color="auto" w:sz="8" w:space="0"/>
            </w:tcBorders>
          </w:tcPr>
          <w:p>
            <w:pPr>
              <w:numPr>
                <w:ilvl w:val="0"/>
                <w:numId w:val="0"/>
              </w:numPr>
              <w:rPr>
                <w:rFonts w:hint="default"/>
                <w:b/>
                <w:bCs/>
                <w:sz w:val="18"/>
                <w:szCs w:val="18"/>
                <w:vertAlign w:val="baseline"/>
              </w:rPr>
            </w:pPr>
            <w:r>
              <w:rPr>
                <w:rFonts w:hint="default"/>
                <w:b/>
                <w:bCs/>
                <w:sz w:val="18"/>
                <w:szCs w:val="18"/>
                <w:vertAlign w:val="baseline"/>
              </w:rPr>
              <w:t>(S)-(+)-Camptothecin</w:t>
            </w:r>
          </w:p>
        </w:tc>
        <w:tc>
          <w:tcPr>
            <w:tcW w:w="2131" w:type="dxa"/>
            <w:tcBorders>
              <w:bottom w:val="single" w:color="auto" w:sz="8" w:space="0"/>
            </w:tcBorders>
          </w:tcPr>
          <w:p>
            <w:pPr>
              <w:numPr>
                <w:ilvl w:val="0"/>
                <w:numId w:val="0"/>
              </w:numPr>
              <w:rPr>
                <w:rFonts w:hint="default"/>
                <w:b/>
                <w:bCs/>
                <w:sz w:val="18"/>
                <w:szCs w:val="18"/>
                <w:vertAlign w:val="baseline"/>
              </w:rPr>
            </w:pPr>
            <w:r>
              <w:rPr>
                <w:rFonts w:hint="default"/>
                <w:b/>
                <w:bCs/>
                <w:sz w:val="18"/>
                <w:szCs w:val="18"/>
                <w:vertAlign w:val="baseline"/>
              </w:rPr>
              <w:t>Chloramphenicol</w:t>
            </w:r>
          </w:p>
        </w:tc>
        <w:tc>
          <w:tcPr>
            <w:tcW w:w="2131" w:type="dxa"/>
            <w:tcBorders>
              <w:bottom w:val="single" w:color="auto" w:sz="8" w:space="0"/>
            </w:tcBorders>
          </w:tcPr>
          <w:p>
            <w:pPr>
              <w:numPr>
                <w:ilvl w:val="0"/>
                <w:numId w:val="0"/>
              </w:numPr>
              <w:rPr>
                <w:rFonts w:hint="default"/>
                <w:b/>
                <w:bCs/>
                <w:sz w:val="18"/>
                <w:szCs w:val="18"/>
                <w:vertAlign w:val="baseline"/>
              </w:rPr>
            </w:pPr>
            <w:r>
              <w:rPr>
                <w:rFonts w:hint="default"/>
                <w:b/>
                <w:bCs/>
                <w:sz w:val="18"/>
                <w:szCs w:val="18"/>
                <w:vertAlign w:val="baseline"/>
              </w:rPr>
              <w:t>Metformin</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c>
          <w:tcPr>
            <w:tcW w:w="2130" w:type="dxa"/>
            <w:tcBorders>
              <w:top w:val="single" w:color="auto" w:sz="8" w:space="0"/>
              <w:tl2br w:val="nil"/>
              <w:tr2bl w:val="nil"/>
            </w:tcBorders>
          </w:tcPr>
          <w:p>
            <w:pPr>
              <w:numPr>
                <w:ilvl w:val="0"/>
                <w:numId w:val="0"/>
              </w:numPr>
              <w:rPr>
                <w:rFonts w:hint="default"/>
                <w:b w:val="0"/>
                <w:bCs w:val="0"/>
                <w:sz w:val="18"/>
                <w:szCs w:val="18"/>
              </w:rPr>
            </w:pPr>
            <w:r>
              <w:rPr>
                <w:rFonts w:hint="default"/>
                <w:b w:val="0"/>
                <w:bCs w:val="0"/>
                <w:sz w:val="18"/>
                <w:szCs w:val="18"/>
              </w:rPr>
              <w:t>0.467</w:t>
            </w:r>
          </w:p>
        </w:tc>
        <w:tc>
          <w:tcPr>
            <w:tcW w:w="2130" w:type="dxa"/>
            <w:tcBorders>
              <w:top w:val="single" w:color="auto" w:sz="8" w:space="0"/>
              <w:tl2br w:val="nil"/>
              <w:tr2bl w:val="nil"/>
            </w:tcBorders>
          </w:tcPr>
          <w:p>
            <w:pPr>
              <w:numPr>
                <w:ilvl w:val="0"/>
                <w:numId w:val="0"/>
              </w:numPr>
              <w:rPr>
                <w:rFonts w:hint="default"/>
                <w:b w:val="0"/>
                <w:bCs w:val="0"/>
                <w:sz w:val="18"/>
                <w:szCs w:val="18"/>
              </w:rPr>
            </w:pPr>
            <w:r>
              <w:rPr>
                <w:rFonts w:hint="default"/>
                <w:b w:val="0"/>
                <w:bCs w:val="0"/>
                <w:sz w:val="18"/>
                <w:szCs w:val="18"/>
              </w:rPr>
              <w:t>0.115</w:t>
            </w:r>
          </w:p>
        </w:tc>
        <w:tc>
          <w:tcPr>
            <w:tcW w:w="2131" w:type="dxa"/>
            <w:tcBorders>
              <w:top w:val="single" w:color="auto" w:sz="8" w:space="0"/>
              <w:tl2br w:val="nil"/>
              <w:tr2bl w:val="nil"/>
            </w:tcBorders>
          </w:tcPr>
          <w:p>
            <w:pPr>
              <w:numPr>
                <w:ilvl w:val="0"/>
                <w:numId w:val="0"/>
              </w:numPr>
              <w:rPr>
                <w:rFonts w:hint="default"/>
                <w:b w:val="0"/>
                <w:bCs w:val="0"/>
                <w:sz w:val="18"/>
                <w:szCs w:val="18"/>
              </w:rPr>
            </w:pPr>
            <w:r>
              <w:rPr>
                <w:rFonts w:hint="default"/>
                <w:b w:val="0"/>
                <w:bCs w:val="0"/>
                <w:sz w:val="18"/>
                <w:szCs w:val="18"/>
              </w:rPr>
              <w:t>0.258</w:t>
            </w:r>
          </w:p>
        </w:tc>
        <w:tc>
          <w:tcPr>
            <w:tcW w:w="2131" w:type="dxa"/>
            <w:tcBorders>
              <w:top w:val="single" w:color="auto" w:sz="8" w:space="0"/>
              <w:tl2br w:val="nil"/>
              <w:tr2bl w:val="nil"/>
            </w:tcBorders>
          </w:tcPr>
          <w:p>
            <w:pPr>
              <w:numPr>
                <w:ilvl w:val="0"/>
                <w:numId w:val="0"/>
              </w:numPr>
              <w:rPr>
                <w:rFonts w:hint="default"/>
                <w:b w:val="0"/>
                <w:bCs w:val="0"/>
                <w:sz w:val="18"/>
                <w:szCs w:val="18"/>
              </w:rPr>
            </w:pPr>
            <w:r>
              <w:rPr>
                <w:rFonts w:hint="default"/>
                <w:b w:val="0"/>
                <w:bCs w:val="0"/>
                <w:sz w:val="18"/>
                <w:szCs w:val="18"/>
              </w:rPr>
              <w:t>-1.116</w:t>
            </w:r>
          </w:p>
        </w:tc>
      </w:tr>
    </w:tbl>
    <w:p>
      <w:pPr>
        <w:numPr>
          <w:ilvl w:val="0"/>
          <w:numId w:val="0"/>
        </w:numPr>
        <w:rPr>
          <w:rFonts w:hint="default" w:ascii="Arial Black" w:hAnsi="Arial Black" w:cs="Arial Black"/>
          <w:b/>
          <w:bCs/>
          <w:sz w:val="22"/>
          <w:szCs w:val="22"/>
        </w:rPr>
      </w:pPr>
    </w:p>
    <w:p>
      <w:pPr>
        <w:numPr>
          <w:ilvl w:val="0"/>
          <w:numId w:val="0"/>
        </w:numPr>
      </w:pPr>
      <w:r>
        <w:rPr>
          <w:rFonts w:hint="default"/>
          <w:b w:val="0"/>
          <w:bCs w:val="0"/>
        </w:rPr>
        <w:t>We can conclude that (+)-Griseofulvin had obvious effects against cancer cells; (S)-(+)-Camptothecin and Chloramphenicol had only moderate effect; Metformin did not have obvious cytotoxicity against cancer cells. However, there is report that when Metformin is combined with other cancer drugs, it can enhance the anti-cancer effects.</w:t>
      </w:r>
      <w:r>
        <w:rPr>
          <w:rFonts w:hint="default"/>
          <w:b w:val="0"/>
          <w:bCs w:val="0"/>
          <w:vertAlign w:val="superscript"/>
        </w:rPr>
        <w:t>5</w:t>
      </w:r>
      <w:r>
        <w:rPr>
          <w:rFonts w:hint="default"/>
          <w:b w:val="0"/>
          <w:bCs w:val="0"/>
        </w:rPr>
        <w:t xml:space="preserve">  </w:t>
      </w:r>
    </w:p>
    <w:p>
      <w:pPr>
        <w:numPr>
          <w:ilvl w:val="0"/>
          <w:numId w:val="0"/>
        </w:numPr>
        <w:rPr>
          <w:rFonts w:hint="default" w:ascii="Arial Black" w:hAnsi="Arial Black" w:cs="Arial Black"/>
          <w:b/>
          <w:bCs/>
          <w:sz w:val="22"/>
          <w:szCs w:val="22"/>
        </w:rPr>
      </w:pPr>
    </w:p>
    <w:p>
      <w:pPr>
        <w:numPr>
          <w:ilvl w:val="0"/>
          <w:numId w:val="0"/>
        </w:numPr>
      </w:pPr>
      <w:r>
        <w:drawing>
          <wp:anchor distT="0" distB="0" distL="114300" distR="114300" simplePos="0" relativeHeight="251658240" behindDoc="0" locked="0" layoutInCell="1" allowOverlap="1">
            <wp:simplePos x="0" y="0"/>
            <wp:positionH relativeFrom="column">
              <wp:posOffset>203200</wp:posOffset>
            </wp:positionH>
            <wp:positionV relativeFrom="paragraph">
              <wp:posOffset>58420</wp:posOffset>
            </wp:positionV>
            <wp:extent cx="4867275" cy="3238500"/>
            <wp:effectExtent l="0" t="0" r="9525" b="127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4867275" cy="3238500"/>
                    </a:xfrm>
                    <a:prstGeom prst="rect">
                      <a:avLst/>
                    </a:prstGeom>
                    <a:noFill/>
                    <a:ln w="9525">
                      <a:noFill/>
                    </a:ln>
                  </pic:spPr>
                </pic:pic>
              </a:graphicData>
            </a:graphic>
          </wp:anchor>
        </w:drawing>
      </w:r>
    </w:p>
    <w:p>
      <w:pPr>
        <w:numPr>
          <w:ilvl w:val="0"/>
          <w:numId w:val="0"/>
        </w:numPr>
        <w:rPr>
          <w:rFonts w:hint="default"/>
          <w:b w:val="0"/>
          <w:bCs w:val="0"/>
        </w:rPr>
      </w:pPr>
      <w:r>
        <w:rPr>
          <w:rFonts w:hint="default"/>
          <w:b/>
          <w:bCs/>
          <w:color w:val="595959" w:themeColor="text1" w:themeTint="A6"/>
          <w:sz w:val="16"/>
          <w:szCs w:val="16"/>
          <w14:textFill>
            <w14:solidFill>
              <w14:schemeClr w14:val="tx1">
                <w14:lumMod w14:val="65000"/>
                <w14:lumOff w14:val="35000"/>
              </w14:schemeClr>
            </w14:solidFill>
          </w14:textFill>
        </w:rPr>
        <w:t>Figure 1:</w:t>
      </w:r>
      <w:r>
        <w:rPr>
          <w:rFonts w:hint="default"/>
          <w:b w:val="0"/>
          <w:bCs w:val="0"/>
          <w:color w:val="595959" w:themeColor="text1" w:themeTint="A6"/>
          <w:sz w:val="16"/>
          <w:szCs w:val="16"/>
          <w14:textFill>
            <w14:solidFill>
              <w14:schemeClr w14:val="tx1">
                <w14:lumMod w14:val="65000"/>
                <w14:lumOff w14:val="35000"/>
              </w14:schemeClr>
            </w14:solidFill>
          </w14:textFill>
        </w:rPr>
        <w:t xml:space="preserve"> Cell viability in positive control wells. (+)-Griseofulvin had obvious cytotoxicity with reasonable standard deviation. (S)-(+)-Camptothecin had higher mean potency than other 2 drugs. However, large standard deviation makes its potency suspicious. This is confirmed in Z-prime values.</w:t>
      </w:r>
    </w:p>
    <w:p>
      <w:pPr>
        <w:numPr>
          <w:ilvl w:val="0"/>
          <w:numId w:val="0"/>
        </w:numPr>
        <w:rPr>
          <w:rFonts w:hint="default"/>
          <w:b w:val="0"/>
          <w:bCs w:val="0"/>
        </w:rPr>
      </w:pPr>
    </w:p>
    <w:p>
      <w:pPr>
        <w:numPr>
          <w:ilvl w:val="0"/>
          <w:numId w:val="0"/>
        </w:numPr>
        <w:rPr>
          <w:rFonts w:hint="default"/>
          <w:b w:val="0"/>
          <w:bCs w:val="0"/>
        </w:rPr>
      </w:pPr>
      <w:r>
        <w:rPr>
          <w:rFonts w:hint="default"/>
          <w:b w:val="0"/>
          <w:bCs w:val="0"/>
        </w:rPr>
        <w:t>We carried out 2 rounds of experiment in total. The first round experiment was for initialization of the model and setting up the test set. Then the active learning model was trained on the initial data points (</w:t>
      </w:r>
      <w:r>
        <w:rPr>
          <w:rFonts w:hint="default"/>
          <w:b/>
          <w:bCs/>
        </w:rPr>
        <w:t>Table 3</w:t>
      </w:r>
      <w:r>
        <w:rPr>
          <w:rFonts w:hint="default"/>
          <w:b w:val="0"/>
          <w:bCs w:val="0"/>
        </w:rPr>
        <w:t xml:space="preserve">) and evaluated on the test set. </w:t>
      </w:r>
    </w:p>
    <w:p>
      <w:pPr>
        <w:numPr>
          <w:ilvl w:val="0"/>
          <w:numId w:val="0"/>
        </w:numPr>
        <w:rPr>
          <w:rFonts w:hint="default"/>
          <w:b w:val="0"/>
          <w:bCs w:val="0"/>
        </w:rPr>
      </w:pPr>
    </w:p>
    <w:p>
      <w:pPr>
        <w:numPr>
          <w:ilvl w:val="0"/>
          <w:numId w:val="0"/>
        </w:numPr>
        <w:jc w:val="center"/>
        <w:rPr>
          <w:rFonts w:hint="default"/>
          <w:b w:val="0"/>
          <w:bCs w:val="0"/>
        </w:rPr>
      </w:pPr>
      <w:r>
        <w:rPr>
          <w:rFonts w:hint="default"/>
          <w:b/>
          <w:bCs/>
          <w:color w:val="595959" w:themeColor="text1" w:themeTint="A6"/>
          <w:sz w:val="16"/>
          <w:szCs w:val="16"/>
          <w14:textFill>
            <w14:solidFill>
              <w14:schemeClr w14:val="tx1">
                <w14:lumMod w14:val="65000"/>
                <w14:lumOff w14:val="35000"/>
              </w14:schemeClr>
            </w14:solidFill>
          </w14:textFill>
        </w:rPr>
        <w:t>Table 3</w:t>
      </w:r>
      <w:r>
        <w:rPr>
          <w:rFonts w:hint="default"/>
          <w:b w:val="0"/>
          <w:bCs w:val="0"/>
          <w:color w:val="595959" w:themeColor="text1" w:themeTint="A6"/>
          <w:sz w:val="16"/>
          <w:szCs w:val="16"/>
          <w14:textFill>
            <w14:solidFill>
              <w14:schemeClr w14:val="tx1">
                <w14:lumMod w14:val="65000"/>
                <w14:lumOff w14:val="35000"/>
              </w14:schemeClr>
            </w14:solidFill>
          </w14:textFill>
        </w:rPr>
        <w:t>: First 5 rows of the first round training data</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6"/>
        <w:gridCol w:w="1905"/>
        <w:gridCol w:w="1691"/>
        <w:gridCol w:w="1636"/>
        <w:gridCol w:w="1614"/>
      </w:tblGrid>
      <w:tr>
        <w:tc>
          <w:tcPr>
            <w:tcW w:w="6817" w:type="dxa"/>
            <w:gridSpan w:val="4"/>
            <w:tcBorders>
              <w:top w:val="single" w:color="auto" w:sz="8" w:space="0"/>
              <w:left w:val="nil"/>
              <w:bottom w:val="single" w:color="auto" w:sz="8" w:space="0"/>
              <w:right w:val="nil"/>
            </w:tcBorders>
          </w:tcPr>
          <w:p>
            <w:pPr>
              <w:numPr>
                <w:ilvl w:val="0"/>
                <w:numId w:val="0"/>
              </w:numPr>
              <w:jc w:val="center"/>
              <w:rPr>
                <w:rFonts w:hint="default"/>
                <w:b/>
                <w:bCs/>
                <w:sz w:val="18"/>
                <w:szCs w:val="18"/>
              </w:rPr>
            </w:pPr>
            <w:r>
              <w:rPr>
                <w:rFonts w:hint="default"/>
                <w:b/>
                <w:bCs/>
                <w:sz w:val="18"/>
                <w:szCs w:val="18"/>
              </w:rPr>
              <w:t>X</w:t>
            </w:r>
          </w:p>
        </w:tc>
        <w:tc>
          <w:tcPr>
            <w:tcW w:w="1705" w:type="dxa"/>
            <w:tcBorders>
              <w:top w:val="single" w:color="auto" w:sz="8" w:space="0"/>
              <w:left w:val="nil"/>
              <w:bottom w:val="single" w:color="auto" w:sz="8" w:space="0"/>
              <w:right w:val="nil"/>
            </w:tcBorders>
          </w:tcPr>
          <w:p>
            <w:pPr>
              <w:numPr>
                <w:ilvl w:val="0"/>
                <w:numId w:val="0"/>
              </w:numPr>
              <w:jc w:val="center"/>
              <w:rPr>
                <w:rFonts w:hint="default"/>
                <w:b/>
                <w:bCs/>
                <w:sz w:val="18"/>
                <w:szCs w:val="18"/>
              </w:rPr>
            </w:pPr>
            <w:r>
              <w:rPr>
                <w:rFonts w:hint="default"/>
                <w:b/>
                <w:bCs/>
                <w:sz w:val="18"/>
                <w:szCs w:val="18"/>
              </w:rPr>
              <w:t>Y</w:t>
            </w:r>
          </w:p>
        </w:tc>
      </w:tr>
      <w:tr>
        <w:tc>
          <w:tcPr>
            <w:tcW w:w="1704" w:type="dxa"/>
            <w:tcBorders>
              <w:top w:val="single" w:color="auto" w:sz="8" w:space="0"/>
              <w:left w:val="nil"/>
              <w:bottom w:val="single" w:color="auto" w:sz="8" w:space="0"/>
              <w:right w:val="nil"/>
            </w:tcBorders>
          </w:tcPr>
          <w:p>
            <w:pPr>
              <w:numPr>
                <w:ilvl w:val="0"/>
                <w:numId w:val="0"/>
              </w:numPr>
              <w:jc w:val="center"/>
              <w:rPr>
                <w:rFonts w:hint="default"/>
                <w:b w:val="0"/>
                <w:bCs w:val="0"/>
                <w:sz w:val="18"/>
                <w:szCs w:val="18"/>
              </w:rPr>
            </w:pPr>
            <w:r>
              <w:rPr>
                <w:rFonts w:hint="default"/>
                <w:b w:val="0"/>
                <w:bCs w:val="0"/>
                <w:sz w:val="18"/>
                <w:szCs w:val="18"/>
              </w:rPr>
              <w:t>(+)-Griseofulvin</w:t>
            </w:r>
          </w:p>
        </w:tc>
        <w:tc>
          <w:tcPr>
            <w:tcW w:w="1704" w:type="dxa"/>
            <w:tcBorders>
              <w:top w:val="single" w:color="auto" w:sz="8" w:space="0"/>
              <w:left w:val="nil"/>
              <w:bottom w:val="single" w:color="auto" w:sz="8" w:space="0"/>
              <w:right w:val="nil"/>
            </w:tcBorders>
          </w:tcPr>
          <w:p>
            <w:pPr>
              <w:numPr>
                <w:ilvl w:val="0"/>
                <w:numId w:val="0"/>
              </w:numPr>
              <w:jc w:val="center"/>
              <w:rPr>
                <w:rFonts w:hint="default"/>
                <w:b w:val="0"/>
                <w:bCs w:val="0"/>
                <w:sz w:val="18"/>
                <w:szCs w:val="18"/>
              </w:rPr>
            </w:pPr>
            <w:r>
              <w:rPr>
                <w:rFonts w:hint="default"/>
                <w:b w:val="0"/>
                <w:bCs w:val="0"/>
                <w:sz w:val="18"/>
                <w:szCs w:val="18"/>
              </w:rPr>
              <w:t>(S)-(+)-Camptothecin</w:t>
            </w:r>
          </w:p>
        </w:tc>
        <w:tc>
          <w:tcPr>
            <w:tcW w:w="1704" w:type="dxa"/>
            <w:tcBorders>
              <w:top w:val="single" w:color="auto" w:sz="8" w:space="0"/>
              <w:left w:val="nil"/>
              <w:bottom w:val="single" w:color="auto" w:sz="8" w:space="0"/>
              <w:right w:val="nil"/>
            </w:tcBorders>
          </w:tcPr>
          <w:p>
            <w:pPr>
              <w:numPr>
                <w:ilvl w:val="0"/>
                <w:numId w:val="0"/>
              </w:numPr>
              <w:jc w:val="center"/>
              <w:rPr>
                <w:rFonts w:hint="default"/>
                <w:b w:val="0"/>
                <w:bCs w:val="0"/>
                <w:sz w:val="18"/>
                <w:szCs w:val="18"/>
              </w:rPr>
            </w:pPr>
            <w:r>
              <w:rPr>
                <w:rFonts w:hint="default"/>
                <w:b w:val="0"/>
                <w:bCs w:val="0"/>
                <w:sz w:val="18"/>
                <w:szCs w:val="18"/>
              </w:rPr>
              <w:t>Chloramphenicol</w:t>
            </w:r>
          </w:p>
        </w:tc>
        <w:tc>
          <w:tcPr>
            <w:tcW w:w="1705" w:type="dxa"/>
            <w:tcBorders>
              <w:top w:val="single" w:color="auto" w:sz="8" w:space="0"/>
              <w:left w:val="nil"/>
              <w:bottom w:val="single" w:color="auto" w:sz="8" w:space="0"/>
              <w:right w:val="nil"/>
            </w:tcBorders>
          </w:tcPr>
          <w:p>
            <w:pPr>
              <w:numPr>
                <w:ilvl w:val="0"/>
                <w:numId w:val="0"/>
              </w:numPr>
              <w:jc w:val="center"/>
              <w:rPr>
                <w:rFonts w:hint="default"/>
                <w:b w:val="0"/>
                <w:bCs w:val="0"/>
                <w:sz w:val="18"/>
                <w:szCs w:val="18"/>
              </w:rPr>
            </w:pPr>
            <w:r>
              <w:rPr>
                <w:rFonts w:hint="default"/>
                <w:b w:val="0"/>
                <w:bCs w:val="0"/>
                <w:sz w:val="18"/>
                <w:szCs w:val="18"/>
              </w:rPr>
              <w:t>Metformin</w:t>
            </w:r>
          </w:p>
        </w:tc>
        <w:tc>
          <w:tcPr>
            <w:tcW w:w="1705" w:type="dxa"/>
            <w:tcBorders>
              <w:top w:val="single" w:color="auto" w:sz="8" w:space="0"/>
              <w:left w:val="nil"/>
              <w:bottom w:val="single" w:color="auto" w:sz="8" w:space="0"/>
              <w:right w:val="nil"/>
            </w:tcBorders>
          </w:tcPr>
          <w:p>
            <w:pPr>
              <w:numPr>
                <w:ilvl w:val="0"/>
                <w:numId w:val="0"/>
              </w:numPr>
              <w:jc w:val="center"/>
              <w:rPr>
                <w:rFonts w:hint="default"/>
                <w:b w:val="0"/>
                <w:bCs w:val="0"/>
                <w:sz w:val="18"/>
                <w:szCs w:val="18"/>
              </w:rPr>
            </w:pPr>
            <w:r>
              <w:rPr>
                <w:rFonts w:hint="default"/>
                <w:b w:val="0"/>
                <w:bCs w:val="0"/>
                <w:sz w:val="18"/>
                <w:szCs w:val="18"/>
              </w:rPr>
              <w:t>Cell viability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Borders>
              <w:top w:val="single" w:color="auto" w:sz="8" w:space="0"/>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0.25</w:t>
            </w:r>
          </w:p>
        </w:tc>
        <w:tc>
          <w:tcPr>
            <w:tcW w:w="1704" w:type="dxa"/>
            <w:tcBorders>
              <w:top w:val="single" w:color="auto" w:sz="8" w:space="0"/>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1.00</w:t>
            </w:r>
          </w:p>
        </w:tc>
        <w:tc>
          <w:tcPr>
            <w:tcW w:w="1704" w:type="dxa"/>
            <w:tcBorders>
              <w:top w:val="single" w:color="auto" w:sz="8" w:space="0"/>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0.00</w:t>
            </w:r>
          </w:p>
        </w:tc>
        <w:tc>
          <w:tcPr>
            <w:tcW w:w="1705" w:type="dxa"/>
            <w:tcBorders>
              <w:top w:val="single" w:color="auto" w:sz="8" w:space="0"/>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4.00</w:t>
            </w:r>
          </w:p>
        </w:tc>
        <w:tc>
          <w:tcPr>
            <w:tcW w:w="1705" w:type="dxa"/>
            <w:tcBorders>
              <w:top w:val="single" w:color="auto" w:sz="8" w:space="0"/>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0.932</w:t>
            </w:r>
          </w:p>
        </w:tc>
      </w:tr>
      <w:tr>
        <w:tc>
          <w:tcPr>
            <w:tcW w:w="1704"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1.00</w:t>
            </w:r>
          </w:p>
        </w:tc>
        <w:tc>
          <w:tcPr>
            <w:tcW w:w="1704"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4.00</w:t>
            </w:r>
          </w:p>
        </w:tc>
        <w:tc>
          <w:tcPr>
            <w:tcW w:w="1704"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12.50</w:t>
            </w:r>
          </w:p>
        </w:tc>
        <w:tc>
          <w:tcPr>
            <w:tcW w:w="1705"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512.00</w:t>
            </w:r>
          </w:p>
        </w:tc>
        <w:tc>
          <w:tcPr>
            <w:tcW w:w="1705"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0.908</w:t>
            </w:r>
          </w:p>
        </w:tc>
      </w:tr>
      <w:tr>
        <w:tc>
          <w:tcPr>
            <w:tcW w:w="1704"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0.00</w:t>
            </w:r>
          </w:p>
        </w:tc>
        <w:tc>
          <w:tcPr>
            <w:tcW w:w="1704"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1.00</w:t>
            </w:r>
          </w:p>
        </w:tc>
        <w:tc>
          <w:tcPr>
            <w:tcW w:w="1704"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3200.00</w:t>
            </w:r>
          </w:p>
        </w:tc>
        <w:tc>
          <w:tcPr>
            <w:tcW w:w="1705"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1</w:t>
            </w:r>
          </w:p>
        </w:tc>
        <w:tc>
          <w:tcPr>
            <w:tcW w:w="1705"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0.849</w:t>
            </w:r>
          </w:p>
        </w:tc>
      </w:tr>
      <w:tr>
        <w:tc>
          <w:tcPr>
            <w:tcW w:w="1704"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16.00</w:t>
            </w:r>
          </w:p>
        </w:tc>
        <w:tc>
          <w:tcPr>
            <w:tcW w:w="1704"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8.00</w:t>
            </w:r>
          </w:p>
        </w:tc>
        <w:tc>
          <w:tcPr>
            <w:tcW w:w="1704"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50.00</w:t>
            </w:r>
          </w:p>
        </w:tc>
        <w:tc>
          <w:tcPr>
            <w:tcW w:w="1705"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64.00</w:t>
            </w:r>
          </w:p>
        </w:tc>
        <w:tc>
          <w:tcPr>
            <w:tcW w:w="1705"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0.783</w:t>
            </w:r>
          </w:p>
        </w:tc>
      </w:tr>
      <w:tr>
        <w:tc>
          <w:tcPr>
            <w:tcW w:w="1704" w:type="dxa"/>
            <w:tcBorders>
              <w:top w:val="nil"/>
              <w:left w:val="nil"/>
              <w:bottom w:val="single" w:color="auto" w:sz="8" w:space="0"/>
              <w:right w:val="nil"/>
            </w:tcBorders>
          </w:tcPr>
          <w:p>
            <w:pPr>
              <w:numPr>
                <w:ilvl w:val="0"/>
                <w:numId w:val="0"/>
              </w:numPr>
              <w:jc w:val="center"/>
              <w:rPr>
                <w:rFonts w:hint="default"/>
                <w:b w:val="0"/>
                <w:bCs w:val="0"/>
                <w:sz w:val="18"/>
                <w:szCs w:val="18"/>
              </w:rPr>
            </w:pPr>
            <w:r>
              <w:rPr>
                <w:rFonts w:hint="default"/>
                <w:b w:val="0"/>
                <w:bCs w:val="0"/>
                <w:sz w:val="18"/>
                <w:szCs w:val="18"/>
              </w:rPr>
              <w:t>16.00</w:t>
            </w:r>
          </w:p>
        </w:tc>
        <w:tc>
          <w:tcPr>
            <w:tcW w:w="1704" w:type="dxa"/>
            <w:tcBorders>
              <w:top w:val="nil"/>
              <w:left w:val="nil"/>
              <w:bottom w:val="single" w:color="auto" w:sz="8" w:space="0"/>
              <w:right w:val="nil"/>
            </w:tcBorders>
          </w:tcPr>
          <w:p>
            <w:pPr>
              <w:numPr>
                <w:ilvl w:val="0"/>
                <w:numId w:val="0"/>
              </w:numPr>
              <w:jc w:val="center"/>
              <w:rPr>
                <w:rFonts w:hint="default"/>
                <w:b w:val="0"/>
                <w:bCs w:val="0"/>
                <w:sz w:val="18"/>
                <w:szCs w:val="18"/>
              </w:rPr>
            </w:pPr>
            <w:r>
              <w:rPr>
                <w:rFonts w:hint="default"/>
                <w:b w:val="0"/>
                <w:bCs w:val="0"/>
                <w:sz w:val="18"/>
                <w:szCs w:val="18"/>
              </w:rPr>
              <w:t>32.00</w:t>
            </w:r>
          </w:p>
        </w:tc>
        <w:tc>
          <w:tcPr>
            <w:tcW w:w="1704" w:type="dxa"/>
            <w:tcBorders>
              <w:top w:val="nil"/>
              <w:left w:val="nil"/>
              <w:bottom w:val="single" w:color="auto" w:sz="8" w:space="0"/>
              <w:right w:val="nil"/>
            </w:tcBorders>
          </w:tcPr>
          <w:p>
            <w:pPr>
              <w:numPr>
                <w:ilvl w:val="0"/>
                <w:numId w:val="0"/>
              </w:numPr>
              <w:jc w:val="center"/>
              <w:rPr>
                <w:rFonts w:hint="default"/>
                <w:b w:val="0"/>
                <w:bCs w:val="0"/>
                <w:sz w:val="18"/>
                <w:szCs w:val="18"/>
              </w:rPr>
            </w:pPr>
            <w:r>
              <w:rPr>
                <w:rFonts w:hint="default"/>
                <w:b w:val="0"/>
                <w:bCs w:val="0"/>
                <w:sz w:val="18"/>
                <w:szCs w:val="18"/>
              </w:rPr>
              <w:t>200.00</w:t>
            </w:r>
          </w:p>
        </w:tc>
        <w:tc>
          <w:tcPr>
            <w:tcW w:w="1705" w:type="dxa"/>
            <w:tcBorders>
              <w:top w:val="nil"/>
              <w:left w:val="nil"/>
              <w:bottom w:val="single" w:color="auto" w:sz="8" w:space="0"/>
              <w:right w:val="nil"/>
            </w:tcBorders>
          </w:tcPr>
          <w:p>
            <w:pPr>
              <w:numPr>
                <w:ilvl w:val="0"/>
                <w:numId w:val="0"/>
              </w:numPr>
              <w:jc w:val="center"/>
              <w:rPr>
                <w:rFonts w:hint="default"/>
                <w:b w:val="0"/>
                <w:bCs w:val="0"/>
                <w:sz w:val="18"/>
                <w:szCs w:val="18"/>
              </w:rPr>
            </w:pPr>
            <w:r>
              <w:rPr>
                <w:rFonts w:hint="default"/>
                <w:b w:val="0"/>
                <w:bCs w:val="0"/>
                <w:sz w:val="18"/>
                <w:szCs w:val="18"/>
              </w:rPr>
              <w:t>1</w:t>
            </w:r>
          </w:p>
        </w:tc>
        <w:tc>
          <w:tcPr>
            <w:tcW w:w="1705" w:type="dxa"/>
            <w:tcBorders>
              <w:top w:val="nil"/>
              <w:left w:val="nil"/>
              <w:bottom w:val="single" w:color="auto" w:sz="8" w:space="0"/>
              <w:right w:val="nil"/>
            </w:tcBorders>
          </w:tcPr>
          <w:p>
            <w:pPr>
              <w:numPr>
                <w:ilvl w:val="0"/>
                <w:numId w:val="0"/>
              </w:numPr>
              <w:jc w:val="center"/>
              <w:rPr>
                <w:rFonts w:hint="default"/>
                <w:b w:val="0"/>
                <w:bCs w:val="0"/>
                <w:sz w:val="18"/>
                <w:szCs w:val="18"/>
              </w:rPr>
            </w:pPr>
            <w:r>
              <w:rPr>
                <w:rFonts w:hint="default"/>
                <w:b w:val="0"/>
                <w:bCs w:val="0"/>
                <w:sz w:val="18"/>
                <w:szCs w:val="18"/>
              </w:rPr>
              <w:t>0.722</w:t>
            </w:r>
          </w:p>
        </w:tc>
      </w:tr>
    </w:tbl>
    <w:p>
      <w:pPr>
        <w:numPr>
          <w:ilvl w:val="0"/>
          <w:numId w:val="0"/>
        </w:numPr>
        <w:rPr>
          <w:rFonts w:hint="default"/>
          <w:b w:val="0"/>
          <w:bCs w:val="0"/>
        </w:rPr>
      </w:pPr>
    </w:p>
    <w:p>
      <w:pPr>
        <w:numPr>
          <w:ilvl w:val="0"/>
          <w:numId w:val="0"/>
        </w:numPr>
        <w:rPr>
          <w:rFonts w:hint="default"/>
          <w:b w:val="0"/>
          <w:bCs w:val="0"/>
        </w:rPr>
      </w:pPr>
      <w:r>
        <w:rPr>
          <w:rFonts w:hint="default"/>
          <w:b w:val="0"/>
          <w:bCs w:val="0"/>
        </w:rPr>
        <w:t xml:space="preserve">Next, we used the model to query next set of experiments with a batch size of 54 and a constrain that one concentration of one drug will not be queried more than 10 times due to the limited volume of prepared treatment reagents. Finally, queried experiments were executed by CybioFelix and Momentum automation platform in the next round. The model will be retrained and evaluated on the test set again. For each round of experiment we maintained a replicate number of 2. Cell Counting Kit-8 (CCK-8) assay was used to measure cell viability in each well. Workflow, plate design and physical run Gantt chart are described in </w:t>
      </w:r>
      <w:r>
        <w:rPr>
          <w:rFonts w:hint="default"/>
          <w:b/>
          <w:bCs/>
        </w:rPr>
        <w:t>Figure 2</w:t>
      </w:r>
      <w:r>
        <w:rPr>
          <w:rFonts w:hint="default"/>
          <w:b w:val="0"/>
          <w:bCs w:val="0"/>
        </w:rPr>
        <w:t>.</w:t>
      </w:r>
    </w:p>
    <w:p>
      <w:pPr>
        <w:numPr>
          <w:ilvl w:val="0"/>
          <w:numId w:val="0"/>
        </w:numPr>
        <w:rPr>
          <w:rFonts w:hint="default"/>
          <w:b w:val="0"/>
          <w:bCs w:val="0"/>
        </w:rPr>
      </w:pPr>
    </w:p>
    <w:p>
      <w:pPr>
        <w:numPr>
          <w:ilvl w:val="0"/>
          <w:numId w:val="0"/>
        </w:numPr>
        <w:rPr>
          <w:rFonts w:hint="default"/>
          <w:b w:val="0"/>
          <w:bCs w:val="0"/>
        </w:rPr>
      </w:pPr>
      <w:r>
        <w:rPr>
          <w:rFonts w:hint="default"/>
          <w:b w:val="0"/>
          <w:bCs w:val="0"/>
        </w:rPr>
        <w:drawing>
          <wp:inline distT="0" distB="0" distL="114300" distR="114300">
            <wp:extent cx="5245735" cy="5039995"/>
            <wp:effectExtent l="0" t="0" r="12065" b="14605"/>
            <wp:docPr id="30" name="Picture 30"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igure1"/>
                    <pic:cNvPicPr>
                      <a:picLocks noChangeAspect="1"/>
                    </pic:cNvPicPr>
                  </pic:nvPicPr>
                  <pic:blipFill>
                    <a:blip r:embed="rId5"/>
                    <a:stretch>
                      <a:fillRect/>
                    </a:stretch>
                  </pic:blipFill>
                  <pic:spPr>
                    <a:xfrm>
                      <a:off x="0" y="0"/>
                      <a:ext cx="5245735" cy="5039995"/>
                    </a:xfrm>
                    <a:prstGeom prst="rect">
                      <a:avLst/>
                    </a:prstGeom>
                  </pic:spPr>
                </pic:pic>
              </a:graphicData>
            </a:graphic>
          </wp:inline>
        </w:drawing>
      </w:r>
    </w:p>
    <w:p>
      <w:pPr>
        <w:numPr>
          <w:ilvl w:val="0"/>
          <w:numId w:val="0"/>
        </w:numPr>
        <w:jc w:val="both"/>
      </w:pPr>
      <w:r>
        <w:rPr>
          <w:rFonts w:hint="default"/>
          <w:b/>
          <w:bCs/>
          <w:color w:val="595959" w:themeColor="text1" w:themeTint="A6"/>
          <w:sz w:val="16"/>
          <w:szCs w:val="16"/>
          <w14:textFill>
            <w14:solidFill>
              <w14:schemeClr w14:val="tx1">
                <w14:lumMod w14:val="65000"/>
                <w14:lumOff w14:val="35000"/>
              </w14:schemeClr>
            </w14:solidFill>
          </w14:textFill>
        </w:rPr>
        <w:t>Figure 2:</w:t>
      </w:r>
      <w:r>
        <w:rPr>
          <w:rFonts w:hint="default"/>
          <w:b w:val="0"/>
          <w:bCs w:val="0"/>
          <w:color w:val="595959" w:themeColor="text1" w:themeTint="A6"/>
          <w:sz w:val="16"/>
          <w:szCs w:val="16"/>
          <w14:textFill>
            <w14:solidFill>
              <w14:schemeClr w14:val="tx1">
                <w14:lumMod w14:val="65000"/>
                <w14:lumOff w14:val="35000"/>
              </w14:schemeClr>
            </w14:solidFill>
          </w14:textFill>
        </w:rPr>
        <w:t xml:space="preserve"> Experiment design. (A) The workflow of the closed-loop system. Each iteration contains 4 critical parts: model query experiments, autonomous robotic platform executes experiments, model fits the results again and model query next round experiments. (B) Plate design. Bright yellow is the experiment zone. Cells are treated with different concentration combinations of 4 drugs in the experiment zone. Positive control well 1-4 contains experiment drugs with 8 times the highest experiment concentration of the corresponding drug. Negative control well only contains cell culture medium and cells. Blank well only contains cell culture medium. (C) Gantt chart of the physical run of the experiment. Preparing treatment at CybioFelix took the longest time. </w:t>
      </w:r>
    </w:p>
    <w:p>
      <w:pPr>
        <w:numPr>
          <w:ilvl w:val="0"/>
          <w:numId w:val="0"/>
        </w:numPr>
      </w:pPr>
    </w:p>
    <w:p>
      <w:pPr>
        <w:numPr>
          <w:ilvl w:val="0"/>
          <w:numId w:val="0"/>
        </w:numPr>
      </w:pPr>
      <w:r>
        <w:t>We measured our model</w:t>
      </w:r>
      <w:r>
        <w:rPr>
          <w:rFonts w:hint="default"/>
        </w:rPr>
        <w:t xml:space="preserve">’s performance on test set in each experiment round. Firstly, we measured the error between model prediction and true test set values on well-scale. The results are summarized in </w:t>
      </w:r>
      <w:r>
        <w:rPr>
          <w:rFonts w:hint="default"/>
          <w:b/>
          <w:bCs/>
        </w:rPr>
        <w:t>Figure 3</w:t>
      </w:r>
      <w:r>
        <w:rPr>
          <w:rFonts w:hint="default"/>
        </w:rPr>
        <w:t>. We can conclude that for those wells that the model performed badly on in the first round, the model performed much better on them after incorporating the data from the second round. We also check the overall improvement by calculating MSE on plate-scale. The MSE dropped from 0.0194 to 0.0128, which is a 33.83% accuracy improvement (</w:t>
      </w:r>
      <w:r>
        <w:rPr>
          <w:rFonts w:hint="default"/>
          <w:b/>
          <w:bCs/>
        </w:rPr>
        <w:t>Figure 4</w:t>
      </w:r>
      <w:r>
        <w:rPr>
          <w:rFonts w:hint="default"/>
        </w:rPr>
        <w:t xml:space="preserve">). </w:t>
      </w:r>
    </w:p>
    <w:p>
      <w:pPr>
        <w:numPr>
          <w:ilvl w:val="0"/>
          <w:numId w:val="0"/>
        </w:numPr>
      </w:pPr>
    </w:p>
    <w:p>
      <w:pPr>
        <w:numPr>
          <w:ilvl w:val="0"/>
          <w:numId w:val="0"/>
        </w:numPr>
      </w:pPr>
    </w:p>
    <w:p>
      <w:pPr>
        <w:numPr>
          <w:ilvl w:val="0"/>
          <w:numId w:val="0"/>
        </w:numPr>
        <w:jc w:val="center"/>
        <w:rPr>
          <w:rFonts w:hint="default"/>
          <w:b w:val="0"/>
          <w:bCs w:val="0"/>
          <w:color w:val="595959" w:themeColor="text1" w:themeTint="A6"/>
          <w:sz w:val="16"/>
          <w:szCs w:val="16"/>
          <w14:textFill>
            <w14:solidFill>
              <w14:schemeClr w14:val="tx1">
                <w14:lumMod w14:val="65000"/>
                <w14:lumOff w14:val="35000"/>
              </w14:schemeClr>
            </w14:solidFill>
          </w14:textFill>
        </w:rPr>
      </w:pPr>
    </w:p>
    <w:p>
      <w:pPr>
        <w:numPr>
          <w:ilvl w:val="0"/>
          <w:numId w:val="0"/>
        </w:numPr>
        <w:jc w:val="center"/>
        <w:rPr>
          <w:rFonts w:hint="default"/>
          <w:b w:val="0"/>
          <w:bCs w:val="0"/>
          <w:color w:val="595959" w:themeColor="text1" w:themeTint="A6"/>
          <w:sz w:val="16"/>
          <w:szCs w:val="16"/>
          <w14:textFill>
            <w14:solidFill>
              <w14:schemeClr w14:val="tx1">
                <w14:lumMod w14:val="65000"/>
                <w14:lumOff w14:val="35000"/>
              </w14:schemeClr>
            </w14:solidFill>
          </w14:textFill>
        </w:rPr>
      </w:pPr>
      <w:r>
        <w:rPr>
          <w:rFonts w:hint="default"/>
          <w:b w:val="0"/>
          <w:bCs w:val="0"/>
          <w:color w:val="595959" w:themeColor="text1" w:themeTint="A6"/>
          <w:sz w:val="16"/>
          <w:szCs w:val="16"/>
          <w14:textFill>
            <w14:solidFill>
              <w14:schemeClr w14:val="tx1">
                <w14:lumMod w14:val="65000"/>
                <w14:lumOff w14:val="35000"/>
              </w14:schemeClr>
            </w14:solidFill>
          </w14:textFill>
        </w:rPr>
        <w:drawing>
          <wp:anchor distT="0" distB="0" distL="114300" distR="114300" simplePos="0" relativeHeight="251659264" behindDoc="0" locked="0" layoutInCell="1" allowOverlap="1">
            <wp:simplePos x="0" y="0"/>
            <wp:positionH relativeFrom="column">
              <wp:posOffset>210185</wp:posOffset>
            </wp:positionH>
            <wp:positionV relativeFrom="paragraph">
              <wp:posOffset>7620</wp:posOffset>
            </wp:positionV>
            <wp:extent cx="4853305" cy="3348355"/>
            <wp:effectExtent l="0" t="0" r="23495"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
                    <a:stretch>
                      <a:fillRect/>
                    </a:stretch>
                  </pic:blipFill>
                  <pic:spPr>
                    <a:xfrm>
                      <a:off x="0" y="0"/>
                      <a:ext cx="4853305" cy="3348355"/>
                    </a:xfrm>
                    <a:prstGeom prst="rect">
                      <a:avLst/>
                    </a:prstGeom>
                    <a:noFill/>
                    <a:ln w="9525">
                      <a:noFill/>
                    </a:ln>
                  </pic:spPr>
                </pic:pic>
              </a:graphicData>
            </a:graphic>
          </wp:anchor>
        </w:drawing>
      </w:r>
      <w:r>
        <w:rPr>
          <w:rFonts w:hint="default"/>
          <w:b w:val="0"/>
          <w:bCs w:val="0"/>
          <w:color w:val="595959" w:themeColor="text1" w:themeTint="A6"/>
          <w:sz w:val="16"/>
          <w:szCs w:val="16"/>
          <w14:textFill>
            <w14:solidFill>
              <w14:schemeClr w14:val="tx1">
                <w14:lumMod w14:val="65000"/>
                <w14:lumOff w14:val="35000"/>
              </w14:schemeClr>
            </w14:solidFill>
          </w14:textFill>
        </w:rPr>
        <w:t>Figure 3: A comparison between the first round and the second round model accuracy on test set on well-scale</w:t>
      </w:r>
    </w:p>
    <w:p>
      <w:pPr>
        <w:numPr>
          <w:ilvl w:val="0"/>
          <w:numId w:val="0"/>
        </w:numPr>
        <w:jc w:val="center"/>
        <w:rPr>
          <w:rFonts w:hint="default"/>
          <w:b w:val="0"/>
          <w:bCs w:val="0"/>
          <w:color w:val="595959" w:themeColor="text1" w:themeTint="A6"/>
          <w:sz w:val="16"/>
          <w:szCs w:val="16"/>
          <w14:textFill>
            <w14:solidFill>
              <w14:schemeClr w14:val="tx1">
                <w14:lumMod w14:val="65000"/>
                <w14:lumOff w14:val="35000"/>
              </w14:schemeClr>
            </w14:solidFill>
          </w14:textFill>
        </w:rPr>
      </w:pPr>
    </w:p>
    <w:p>
      <w:pPr>
        <w:numPr>
          <w:ilvl w:val="0"/>
          <w:numId w:val="0"/>
        </w:numPr>
        <w:jc w:val="center"/>
        <w:rPr>
          <w:rFonts w:hint="default"/>
          <w:b w:val="0"/>
          <w:bCs w:val="0"/>
          <w:color w:val="595959" w:themeColor="text1" w:themeTint="A6"/>
          <w:sz w:val="16"/>
          <w:szCs w:val="16"/>
          <w14:textFill>
            <w14:solidFill>
              <w14:schemeClr w14:val="tx1">
                <w14:lumMod w14:val="65000"/>
                <w14:lumOff w14:val="35000"/>
              </w14:schemeClr>
            </w14:solidFill>
          </w14:textFill>
        </w:rPr>
      </w:pPr>
    </w:p>
    <w:p>
      <w:pPr>
        <w:numPr>
          <w:ilvl w:val="0"/>
          <w:numId w:val="0"/>
        </w:numPr>
        <w:jc w:val="center"/>
        <w:rPr>
          <w:rFonts w:hint="default"/>
        </w:rPr>
      </w:pPr>
      <w:r>
        <w:rPr>
          <w:rFonts w:hint="default"/>
          <w:b w:val="0"/>
          <w:bCs w:val="0"/>
          <w:color w:val="595959" w:themeColor="text1" w:themeTint="A6"/>
          <w:sz w:val="16"/>
          <w:szCs w:val="16"/>
          <w14:textFill>
            <w14:solidFill>
              <w14:schemeClr w14:val="tx1">
                <w14:lumMod w14:val="65000"/>
                <w14:lumOff w14:val="35000"/>
              </w14:schemeClr>
            </w14:solidFill>
          </w14:textFill>
        </w:rPr>
        <w:t>Figure 4: A comparison between the first round and the second round model accuracy on test set on plate-scale</w:t>
      </w:r>
      <w:r>
        <w:drawing>
          <wp:anchor distT="0" distB="0" distL="114300" distR="114300" simplePos="0" relativeHeight="251660288" behindDoc="0" locked="0" layoutInCell="1" allowOverlap="1">
            <wp:simplePos x="0" y="0"/>
            <wp:positionH relativeFrom="column">
              <wp:posOffset>211455</wp:posOffset>
            </wp:positionH>
            <wp:positionV relativeFrom="paragraph">
              <wp:posOffset>69850</wp:posOffset>
            </wp:positionV>
            <wp:extent cx="5105400" cy="3234055"/>
            <wp:effectExtent l="0" t="0" r="0" b="171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
                    <a:stretch>
                      <a:fillRect/>
                    </a:stretch>
                  </pic:blipFill>
                  <pic:spPr>
                    <a:xfrm>
                      <a:off x="0" y="0"/>
                      <a:ext cx="5105400" cy="3234055"/>
                    </a:xfrm>
                    <a:prstGeom prst="rect">
                      <a:avLst/>
                    </a:prstGeom>
                    <a:noFill/>
                    <a:ln w="9525">
                      <a:noFill/>
                    </a:ln>
                  </pic:spPr>
                </pic:pic>
              </a:graphicData>
            </a:graphic>
          </wp:anchor>
        </w:drawing>
      </w:r>
    </w:p>
    <w:p>
      <w:pPr>
        <w:numPr>
          <w:ilvl w:val="0"/>
          <w:numId w:val="0"/>
        </w:numPr>
        <w:rPr>
          <w:rFonts w:hint="default" w:ascii="Arial Black" w:hAnsi="Arial Black" w:cs="Arial Black"/>
          <w:b/>
          <w:bCs/>
          <w:sz w:val="22"/>
          <w:szCs w:val="22"/>
        </w:rPr>
      </w:pPr>
    </w:p>
    <w:p>
      <w:pPr>
        <w:rPr>
          <w:rFonts w:hint="default" w:ascii="Arial Black" w:hAnsi="Arial Black" w:cs="Arial Black"/>
          <w:b/>
          <w:bCs/>
          <w:sz w:val="22"/>
          <w:szCs w:val="22"/>
        </w:rPr>
      </w:pPr>
      <w:r>
        <w:rPr>
          <w:rFonts w:hint="default" w:ascii="Arial Black" w:hAnsi="Arial Black" w:cs="Arial Black"/>
          <w:b/>
          <w:bCs/>
          <w:sz w:val="22"/>
          <w:szCs w:val="22"/>
        </w:rPr>
        <w:br w:type="page"/>
      </w:r>
    </w:p>
    <w:p>
      <w:pPr>
        <w:numPr>
          <w:ilvl w:val="0"/>
          <w:numId w:val="0"/>
        </w:numPr>
        <w:rPr>
          <w:rFonts w:hint="default" w:ascii="Arial Black" w:hAnsi="Arial Black" w:cs="Arial Black"/>
          <w:b/>
          <w:bCs/>
          <w:sz w:val="22"/>
          <w:szCs w:val="22"/>
        </w:rPr>
      </w:pPr>
      <w:r>
        <w:rPr>
          <w:rFonts w:hint="default" w:ascii="Arial Black" w:hAnsi="Arial Black" w:cs="Arial Black"/>
          <w:b/>
          <w:bCs/>
          <w:sz w:val="22"/>
          <w:szCs w:val="22"/>
        </w:rPr>
        <w:t>Materials and methods</w:t>
      </w:r>
    </w:p>
    <w:p>
      <w:pPr>
        <w:numPr>
          <w:ilvl w:val="0"/>
          <w:numId w:val="0"/>
        </w:numPr>
        <w:rPr>
          <w:b/>
          <w:bCs/>
        </w:rPr>
      </w:pPr>
      <w:r>
        <w:rPr>
          <w:b/>
          <w:bCs/>
        </w:rPr>
        <w:t xml:space="preserve">Cell culture </w:t>
      </w:r>
    </w:p>
    <w:p>
      <w:pPr>
        <w:numPr>
          <w:ilvl w:val="0"/>
          <w:numId w:val="0"/>
        </w:numPr>
        <w:rPr>
          <w:rFonts w:hint="default"/>
          <w:b w:val="0"/>
          <w:bCs w:val="0"/>
        </w:rPr>
      </w:pPr>
      <w:r>
        <w:rPr>
          <w:b w:val="0"/>
          <w:bCs w:val="0"/>
        </w:rPr>
        <w:t xml:space="preserve">Cancer cells were seeded in 96-well plates by CybioFelix platform 3 days before the experiment. Cells were incubated in </w:t>
      </w:r>
      <w:r>
        <w:rPr>
          <w:rFonts w:hint="default"/>
          <w:b w:val="0"/>
          <w:bCs w:val="0"/>
        </w:rPr>
        <w:t>Dulbecco’s Modified Eagle’s Medium (DMEM)</w:t>
      </w:r>
      <w:r>
        <w:rPr>
          <w:b w:val="0"/>
          <w:bCs w:val="0"/>
        </w:rPr>
        <w:t xml:space="preserve"> </w:t>
      </w:r>
      <w:r>
        <w:rPr>
          <w:rFonts w:hint="default"/>
          <w:b w:val="0"/>
          <w:bCs w:val="0"/>
        </w:rPr>
        <w:t>with 10% fetal bovine serum (FBS, Gibico), 1% Penicillin-Streptomycin and incubated at 37 °C with 5% CO2.</w:t>
      </w:r>
    </w:p>
    <w:p>
      <w:pPr>
        <w:numPr>
          <w:ilvl w:val="0"/>
          <w:numId w:val="0"/>
        </w:numPr>
        <w:rPr>
          <w:rFonts w:hint="default"/>
          <w:b w:val="0"/>
          <w:bCs w:val="0"/>
        </w:rPr>
      </w:pPr>
    </w:p>
    <w:p>
      <w:pPr>
        <w:numPr>
          <w:ilvl w:val="0"/>
          <w:numId w:val="0"/>
        </w:numPr>
        <w:rPr>
          <w:rFonts w:hint="default"/>
          <w:b/>
          <w:bCs/>
        </w:rPr>
      </w:pPr>
      <w:r>
        <w:rPr>
          <w:rFonts w:hint="default"/>
          <w:b/>
          <w:bCs/>
        </w:rPr>
        <w:t>Drugs and reagents</w:t>
      </w:r>
    </w:p>
    <w:p>
      <w:pPr>
        <w:numPr>
          <w:ilvl w:val="0"/>
          <w:numId w:val="0"/>
        </w:numPr>
        <w:rPr>
          <w:rFonts w:hint="default"/>
          <w:b w:val="0"/>
          <w:bCs w:val="0"/>
        </w:rPr>
      </w:pPr>
      <w:r>
        <w:rPr>
          <w:rFonts w:hint="default"/>
          <w:b w:val="0"/>
          <w:bCs w:val="0"/>
        </w:rPr>
        <w:t>We started with the stock solutions, whose concentrations were 8-times of the highest experiment concentrations and used CybioFelix platform to do serial dilution for different experiment concentrations.</w:t>
      </w:r>
    </w:p>
    <w:p>
      <w:pPr>
        <w:numPr>
          <w:ilvl w:val="0"/>
          <w:numId w:val="0"/>
        </w:numPr>
        <w:rPr>
          <w:rFonts w:hint="default"/>
          <w:b w:val="0"/>
          <w:bCs w:val="0"/>
        </w:rPr>
      </w:pPr>
      <w:r>
        <w:rPr>
          <w:rFonts w:hint="default"/>
          <w:b w:val="0"/>
          <w:bCs w:val="0"/>
        </w:rPr>
        <w:t xml:space="preserve"> </w:t>
      </w:r>
    </w:p>
    <w:p>
      <w:pPr>
        <w:numPr>
          <w:ilvl w:val="0"/>
          <w:numId w:val="0"/>
        </w:numPr>
        <w:rPr>
          <w:rFonts w:hint="default"/>
          <w:b/>
          <w:bCs/>
        </w:rPr>
      </w:pPr>
      <w:r>
        <w:rPr>
          <w:rFonts w:hint="default"/>
          <w:b/>
          <w:bCs/>
        </w:rPr>
        <w:t>CCK-8 assay</w:t>
      </w:r>
    </w:p>
    <w:p>
      <w:pPr>
        <w:numPr>
          <w:ilvl w:val="0"/>
          <w:numId w:val="0"/>
        </w:numPr>
        <w:rPr>
          <w:rFonts w:hint="default"/>
          <w:b w:val="0"/>
          <w:bCs w:val="0"/>
        </w:rPr>
      </w:pPr>
      <w:r>
        <w:rPr>
          <w:rFonts w:hint="default"/>
          <w:b w:val="0"/>
          <w:bCs w:val="0"/>
        </w:rPr>
        <w:t>CCK-8 (GLPBIO) was employed to measure cell viability in each well. After the cells were incubated with the experiment drugs for 24 hours, 10</w:t>
      </w:r>
      <w:r>
        <w:rPr>
          <w:rFonts w:hint="default"/>
          <w:b w:val="0"/>
          <w:bCs w:val="0"/>
          <w:sz w:val="18"/>
          <w:szCs w:val="18"/>
          <w:vertAlign w:val="baseline"/>
        </w:rPr>
        <w:t xml:space="preserve">μL </w:t>
      </w:r>
      <w:r>
        <w:rPr>
          <w:rFonts w:hint="default"/>
          <w:b w:val="0"/>
          <w:bCs w:val="0"/>
        </w:rPr>
        <w:t>CCK-8 kit was manually added to each well and then incubate for 1.5 hours in the cell incubator. Then, Thermo Scientific Shaker was employed to make sure the dye was evenly distributed in each well (2 minutes). At last, the absorbance of each well was measured at 450nm by VarioSkan Lux. Then cell viability was measured as following:</w:t>
      </w:r>
    </w:p>
    <w:p>
      <w:pPr>
        <w:numPr>
          <w:ilvl w:val="0"/>
          <w:numId w:val="0"/>
        </w:numPr>
        <w:rPr>
          <w:rFonts w:hint="default"/>
          <w:b w:val="0"/>
          <w:bCs w:val="0"/>
        </w:rPr>
      </w:pPr>
      <m:oMathPara>
        <m:oMath>
          <m:r>
            <m:rPr>
              <m:sty m:val="p"/>
            </m:rPr>
            <w:rPr>
              <w:rFonts w:ascii="Cambria Math" w:hAnsi="Cambria Math" w:cstheme="minorBidi"/>
              <w:kern w:val="2"/>
              <w:sz w:val="21"/>
              <w:szCs w:val="24"/>
              <w:lang w:val="en-US" w:eastAsia="zh-CN" w:bidi="ar-SA"/>
            </w:rPr>
            <m:t xml:space="preserve">Cell viability (%) = </m:t>
          </m:r>
          <m:f>
            <m:fPr>
              <m:ctrlPr>
                <w:rPr>
                  <w:rFonts w:ascii="Cambria Math" w:hAnsi="Cambria Math" w:cstheme="minorBidi"/>
                  <w:b w:val="0"/>
                  <w:bCs w:val="0"/>
                  <w:kern w:val="2"/>
                  <w:sz w:val="21"/>
                  <w:szCs w:val="24"/>
                  <w:lang w:val="en-US" w:eastAsia="zh-CN" w:bidi="ar-SA"/>
                </w:rPr>
              </m:ctrlPr>
            </m:fPr>
            <m:num>
              <m:r>
                <m:rPr>
                  <m:sty m:val="p"/>
                </m:rPr>
                <w:rPr>
                  <w:rFonts w:ascii="Cambria Math" w:hAnsi="Cambria Math" w:cstheme="minorBidi"/>
                  <w:kern w:val="2"/>
                  <w:sz w:val="21"/>
                  <w:szCs w:val="24"/>
                  <w:lang w:val="en-US" w:eastAsia="zh-CN" w:bidi="ar-SA"/>
                </w:rPr>
                <m:t xml:space="preserve">As </m:t>
              </m:r>
              <m:r>
                <m:rPr>
                  <m:sty m:val="p"/>
                </m:rPr>
                <w:rPr>
                  <w:rFonts w:ascii="Cambria Math" w:hAnsi="Cambria Math" w:cstheme="minorBidi"/>
                  <w:kern w:val="2"/>
                  <w:sz w:val="21"/>
                  <w:szCs w:val="24"/>
                  <w:lang w:val="en-US" w:bidi="ar-SA"/>
                </w:rPr>
                <m:t>−</m:t>
              </m:r>
              <m:r>
                <m:rPr>
                  <m:sty m:val="p"/>
                </m:rPr>
                <w:rPr>
                  <w:rFonts w:ascii="Cambria Math" w:hAnsi="Cambria Math" w:cstheme="minorBidi"/>
                  <w:kern w:val="2"/>
                  <w:sz w:val="21"/>
                  <w:szCs w:val="24"/>
                  <w:lang w:val="en-US" w:eastAsia="zh-CN" w:bidi="ar-SA"/>
                </w:rPr>
                <m:t xml:space="preserve"> Ab</m:t>
              </m:r>
              <m:ctrlPr>
                <w:rPr>
                  <w:rFonts w:ascii="Cambria Math" w:hAnsi="Cambria Math" w:cstheme="minorBidi"/>
                  <w:b w:val="0"/>
                  <w:bCs w:val="0"/>
                  <w:kern w:val="2"/>
                  <w:sz w:val="21"/>
                  <w:szCs w:val="24"/>
                  <w:lang w:val="en-US" w:eastAsia="zh-CN" w:bidi="ar-SA"/>
                </w:rPr>
              </m:ctrlPr>
            </m:num>
            <m:den>
              <m:r>
                <m:rPr>
                  <m:sty m:val="p"/>
                </m:rPr>
                <w:rPr>
                  <w:rFonts w:ascii="Cambria Math" w:hAnsi="Cambria Math" w:cstheme="minorBidi"/>
                  <w:kern w:val="2"/>
                  <w:sz w:val="21"/>
                  <w:szCs w:val="24"/>
                  <w:lang w:val="en-US" w:eastAsia="zh-CN" w:bidi="ar-SA"/>
                </w:rPr>
                <m:t>Ac − Ab</m:t>
              </m:r>
              <m:ctrlPr>
                <w:rPr>
                  <w:rFonts w:ascii="Cambria Math" w:hAnsi="Cambria Math" w:cstheme="minorBidi"/>
                  <w:b w:val="0"/>
                  <w:bCs w:val="0"/>
                  <w:kern w:val="2"/>
                  <w:sz w:val="21"/>
                  <w:szCs w:val="24"/>
                  <w:lang w:val="en-US" w:eastAsia="zh-CN" w:bidi="ar-SA"/>
                </w:rPr>
              </m:ctrlPr>
            </m:den>
          </m:f>
          <m:r>
            <m:rPr>
              <m:sty m:val="p"/>
            </m:rPr>
            <w:rPr>
              <w:rFonts w:ascii="Cambria Math" w:hAnsi="Cambria Math" w:cstheme="minorBidi"/>
              <w:kern w:val="2"/>
              <w:sz w:val="21"/>
              <w:szCs w:val="24"/>
              <w:lang w:val="en-US" w:eastAsia="zh-CN" w:bidi="ar-SA"/>
            </w:rPr>
            <m:t xml:space="preserve"> </m:t>
          </m:r>
          <m:r>
            <m:rPr>
              <m:sty m:val="p"/>
            </m:rPr>
            <w:rPr>
              <w:rFonts w:ascii="Cambria Math" w:hAnsi="Cambria Math" w:cstheme="minorBidi"/>
              <w:kern w:val="2"/>
              <w:sz w:val="21"/>
              <w:szCs w:val="24"/>
              <w:lang w:val="en-US" w:bidi="ar-SA"/>
            </w:rPr>
            <m:t>× 100%</m:t>
          </m:r>
        </m:oMath>
      </m:oMathPara>
    </w:p>
    <w:p>
      <w:pPr>
        <w:numPr>
          <w:ilvl w:val="0"/>
          <w:numId w:val="0"/>
        </w:numPr>
        <w:rPr>
          <w:rFonts w:hint="default"/>
        </w:rPr>
      </w:pPr>
      <w:r>
        <w:rPr>
          <w:rFonts w:hint="default"/>
        </w:rPr>
        <w:t>As = absorbance of the experimental well (absorbance of cells, medium, CCK8 and wells of the test drugs).</w:t>
      </w:r>
    </w:p>
    <w:p>
      <w:pPr>
        <w:numPr>
          <w:ilvl w:val="0"/>
          <w:numId w:val="0"/>
        </w:numPr>
        <w:rPr>
          <w:rFonts w:hint="default"/>
        </w:rPr>
      </w:pPr>
      <w:r>
        <w:rPr>
          <w:rFonts w:hint="default"/>
        </w:rPr>
        <w:t>Ab = blank well absorbance (absorbance of wells containing medium and CCK8).</w:t>
      </w:r>
    </w:p>
    <w:p>
      <w:pPr>
        <w:numPr>
          <w:ilvl w:val="0"/>
          <w:numId w:val="0"/>
        </w:numPr>
      </w:pPr>
      <w:r>
        <w:rPr>
          <w:rFonts w:hint="default"/>
        </w:rPr>
        <w:t>Ac = control well absorbance (absorbance of wells containing cells, medium and CCK8).</w:t>
      </w:r>
    </w:p>
    <w:p>
      <w:pPr>
        <w:numPr>
          <w:ilvl w:val="0"/>
          <w:numId w:val="0"/>
        </w:numPr>
        <w:rPr>
          <w:rFonts w:hint="default" w:ascii="Arial Black" w:hAnsi="Arial Black" w:cs="Arial Black"/>
          <w:b/>
          <w:bCs/>
          <w:sz w:val="22"/>
          <w:szCs w:val="22"/>
        </w:rPr>
      </w:pPr>
    </w:p>
    <w:p>
      <w:pPr>
        <w:numPr>
          <w:ilvl w:val="0"/>
          <w:numId w:val="0"/>
        </w:numPr>
        <w:rPr>
          <w:rFonts w:hint="default" w:ascii="Arial Black" w:hAnsi="Arial Black" w:cs="Arial Black"/>
          <w:b/>
          <w:bCs/>
          <w:sz w:val="22"/>
          <w:szCs w:val="22"/>
        </w:rPr>
      </w:pPr>
      <w:r>
        <w:rPr>
          <w:rFonts w:hint="default" w:ascii="Arial Black" w:hAnsi="Arial Black" w:cs="Arial Black"/>
          <w:b/>
          <w:bCs/>
          <w:sz w:val="22"/>
          <w:szCs w:val="22"/>
        </w:rPr>
        <w:t xml:space="preserve">Discussion </w:t>
      </w:r>
      <w:r>
        <w:rPr>
          <w:rFonts w:hint="default"/>
          <w:b w:val="0"/>
          <w:bCs w:val="0"/>
        </w:rPr>
        <w:t>(</w:t>
      </w:r>
      <w:r>
        <w:rPr>
          <w:rFonts w:hint="default"/>
          <w:b w:val="0"/>
          <w:bCs w:val="0"/>
          <w:lang w:eastAsia="zh-CN"/>
        </w:rPr>
        <w:t>together, wait for Matt’s simulation results</w:t>
      </w:r>
      <w:r>
        <w:rPr>
          <w:rFonts w:hint="default"/>
          <w:b w:val="0"/>
          <w:bCs w:val="0"/>
        </w:rPr>
        <w:t>)</w:t>
      </w:r>
    </w:p>
    <w:p>
      <w:pPr>
        <w:numPr>
          <w:ilvl w:val="0"/>
          <w:numId w:val="0"/>
        </w:numPr>
        <w:rPr>
          <w:rFonts w:hint="default" w:ascii="Arial Black" w:hAnsi="Arial Black" w:cs="Arial Black"/>
          <w:b/>
          <w:bCs/>
          <w:sz w:val="22"/>
          <w:szCs w:val="22"/>
        </w:rPr>
      </w:pPr>
    </w:p>
    <w:p>
      <w:pPr>
        <w:numPr>
          <w:ilvl w:val="0"/>
          <w:numId w:val="0"/>
        </w:numPr>
        <w:rPr>
          <w:rFonts w:hint="default" w:ascii="Arial Black" w:hAnsi="Arial Black" w:cs="Arial Black"/>
          <w:b/>
          <w:bCs/>
          <w:sz w:val="22"/>
          <w:szCs w:val="22"/>
        </w:rPr>
      </w:pPr>
      <w:r>
        <w:rPr>
          <w:rFonts w:hint="default" w:ascii="Arial Black" w:hAnsi="Arial Black" w:cs="Arial Black"/>
          <w:b/>
          <w:bCs/>
          <w:sz w:val="22"/>
          <w:szCs w:val="22"/>
        </w:rPr>
        <w:t>Reference</w:t>
      </w:r>
    </w:p>
    <w:p>
      <w:pPr>
        <w:numPr>
          <w:ilvl w:val="0"/>
          <w:numId w:val="1"/>
        </w:numPr>
        <w:ind w:left="425" w:leftChars="0" w:hanging="425" w:firstLineChars="0"/>
        <w:rPr>
          <w:rFonts w:hint="default"/>
        </w:rPr>
      </w:pPr>
      <w:r>
        <w:rPr>
          <w:rFonts w:hint="default"/>
        </w:rPr>
        <w:t>Griner, Lesley A. Mathews, et al. "High-throughput combinatorial screening identifies drugs that cooperate with ibrutinib to kill activated B-cell–like diffuse large B-cell lymphoma cells." Proceedings of the National Academy of Sciences 111.6 (2014): 2349-2354.</w:t>
      </w:r>
    </w:p>
    <w:p>
      <w:pPr>
        <w:numPr>
          <w:ilvl w:val="0"/>
          <w:numId w:val="1"/>
        </w:numPr>
        <w:ind w:left="425" w:leftChars="0" w:hanging="425" w:firstLineChars="0"/>
        <w:rPr>
          <w:rFonts w:hint="default"/>
        </w:rPr>
      </w:pPr>
      <w:r>
        <w:rPr>
          <w:rFonts w:hint="default"/>
          <w:lang w:val="en-US" w:eastAsia="zh-CN"/>
        </w:rPr>
        <w:t>Uen, Y. H., et al. "NF-kappaB pathway is involved in griseofulvin-induced G2/M arrest and apoptosis in HL-60 cells." Journal of Cellular Biochemistry 101.5 (2007): 1165-1175.</w:t>
      </w:r>
    </w:p>
    <w:p>
      <w:pPr>
        <w:numPr>
          <w:ilvl w:val="0"/>
          <w:numId w:val="1"/>
        </w:numPr>
        <w:ind w:left="425" w:leftChars="0" w:hanging="425" w:firstLineChars="0"/>
        <w:rPr>
          <w:rFonts w:hint="default"/>
        </w:rPr>
      </w:pPr>
      <w:r>
        <w:rPr>
          <w:rFonts w:hint="default"/>
        </w:rPr>
        <w:t>Shimizu, T., and Y. Pommier. "Camptothecin-induced apoptosis in p53-null human leukemia HL60 cells and their isolated nuclei: effects of the protease inhibitors Z-VAD-fmk and dichloroisocoumarin suggest an involvement of both caspases and serine proteases." Leukemia 11.8 (1997): 1238-1244.</w:t>
      </w:r>
    </w:p>
    <w:p>
      <w:pPr>
        <w:numPr>
          <w:ilvl w:val="0"/>
          <w:numId w:val="1"/>
        </w:numPr>
        <w:ind w:left="425" w:leftChars="0" w:hanging="425" w:firstLineChars="0"/>
        <w:rPr>
          <w:rFonts w:hint="default"/>
        </w:rPr>
      </w:pPr>
      <w:r>
        <w:rPr>
          <w:rFonts w:hint="default"/>
        </w:rPr>
        <w:t>Kong, C. T., et al. "Effects of antioxidants and a caspase inhibitor on chioramphenicol-induced toxicity of human bone marrow and HL-60 cells." Human &amp; experimental toxicology 19.9 (2000): 503-510.</w:t>
      </w:r>
    </w:p>
    <w:p>
      <w:pPr>
        <w:numPr>
          <w:ilvl w:val="0"/>
          <w:numId w:val="1"/>
        </w:numPr>
        <w:ind w:left="425" w:leftChars="0" w:hanging="425" w:firstLineChars="0"/>
        <w:rPr>
          <w:rFonts w:hint="default"/>
        </w:rPr>
      </w:pPr>
      <w:r>
        <w:rPr>
          <w:rFonts w:hint="default"/>
        </w:rPr>
        <w:t>Asik, Aycan, et al. "Antileukemic effect of paclitaxel in combination with metformin in HL-60 cell line." Gene 647 (2018): 213-220.</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Open Sans">
    <w:panose1 w:val="020B0806030504020204"/>
    <w:charset w:val="00"/>
    <w:family w:val="auto"/>
    <w:pitch w:val="default"/>
    <w:sig w:usb0="E00002EF" w:usb1="4000205B" w:usb2="00000028" w:usb3="00000000" w:csb0="2000019F" w:csb1="00000000"/>
  </w:font>
  <w:font w:name="Hiragino Sans CNS">
    <w:panose1 w:val="020B0300000000000000"/>
    <w:charset w:val="88"/>
    <w:family w:val="auto"/>
    <w:pitch w:val="default"/>
    <w:sig w:usb0="00000001" w:usb1="1A0F1900" w:usb2="00000016" w:usb3="00000000" w:csb0="00120005" w:csb1="00000000"/>
  </w:font>
  <w:font w:name="Roboto">
    <w:altName w:val="苹方-简"/>
    <w:panose1 w:val="00000000000000000000"/>
    <w:charset w:val="00"/>
    <w:family w:val="auto"/>
    <w:pitch w:val="default"/>
    <w:sig w:usb0="00000000" w:usb1="00000000" w:usb2="00000000" w:usb3="00000000" w:csb0="00000000" w:csb1="00000000"/>
  </w:font>
  <w:font w:name="NexusSans">
    <w:altName w:val="苹方-简"/>
    <w:panose1 w:val="00000000000000000000"/>
    <w:charset w:val="00"/>
    <w:family w:val="auto"/>
    <w:pitch w:val="default"/>
    <w:sig w:usb0="00000000" w:usb1="00000000" w:usb2="00000000" w:usb3="00000000" w:csb0="00000000" w:csb1="00000000"/>
  </w:font>
  <w:font w:name="Al Tarikh">
    <w:panose1 w:val="00000400000000000000"/>
    <w:charset w:val="00"/>
    <w:family w:val="auto"/>
    <w:pitch w:val="default"/>
    <w:sig w:usb0="00000003" w:usb1="0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American Typewriter Regular">
    <w:panose1 w:val="02090604020004020304"/>
    <w:charset w:val="00"/>
    <w:family w:val="auto"/>
    <w:pitch w:val="default"/>
    <w:sig w:usb0="A000006F" w:usb1="00000019" w:usb2="00000000" w:usb3="00000000" w:csb0="20000111" w:csb1="00000000"/>
  </w:font>
  <w:font w:name="Al Nile Regular">
    <w:panose1 w:val="00000400000000000000"/>
    <w:charset w:val="00"/>
    <w:family w:val="auto"/>
    <w:pitch w:val="default"/>
    <w:sig w:usb0="00000003" w:usb1="00000000" w:usb2="00000000" w:usb3="00000000" w:csb0="00000001" w:csb1="00000000"/>
  </w:font>
  <w:font w:name="Al Bayan Plain">
    <w:panose1 w:val="00000000000000000000"/>
    <w:charset w:val="00"/>
    <w:family w:val="auto"/>
    <w:pitch w:val="default"/>
    <w:sig w:usb0="00002000" w:usb1="00000000" w:usb2="00000008" w:usb3="00000000" w:csb0="00000040" w:csb1="20000000"/>
  </w:font>
  <w:font w:name="Andale Mono">
    <w:panose1 w:val="020B0509000000000004"/>
    <w:charset w:val="00"/>
    <w:family w:val="auto"/>
    <w:pitch w:val="default"/>
    <w:sig w:usb0="00000287" w:usb1="00000000" w:usb2="00000000" w:usb3="00000000" w:csb0="6000009F" w:csb1="DFD70000"/>
  </w:font>
  <w:font w:name="Apple Braille Outline 6 Dot">
    <w:panose1 w:val="05000000000000000000"/>
    <w:charset w:val="00"/>
    <w:family w:val="auto"/>
    <w:pitch w:val="default"/>
    <w:sig w:usb0="80000040" w:usb1="00000000" w:usb2="00040000" w:usb3="00000000" w:csb0="00000000" w:csb1="00000000"/>
  </w:font>
  <w:font w:name="Webdings">
    <w:panose1 w:val="05030102010509060703"/>
    <w:charset w:val="00"/>
    <w:family w:val="auto"/>
    <w:pitch w:val="default"/>
    <w:sig w:usb0="00000000" w:usb1="00000000" w:usb2="00000000" w:usb3="00000000" w:csb0="80000000" w:csb1="00000000"/>
  </w:font>
  <w:font w:name="Apple Chancery">
    <w:panose1 w:val="03020702040506060504"/>
    <w:charset w:val="00"/>
    <w:family w:val="auto"/>
    <w:pitch w:val="default"/>
    <w:sig w:usb0="80000067" w:usb1="00000003" w:usb2="00000000" w:usb3="00000000" w:csb0="200001F3" w:csb1="CDFC0000"/>
  </w:font>
  <w:font w:name="Apple Color Emoji">
    <w:panose1 w:val="00000000000000000000"/>
    <w:charset w:val="00"/>
    <w:family w:val="auto"/>
    <w:pitch w:val="default"/>
    <w:sig w:usb0="00000003" w:usb1="18000000" w:usb2="14000000" w:usb3="00000000" w:csb0="00000001" w:csb1="00000000"/>
  </w:font>
  <w:font w:name="Apple LiGothic">
    <w:panose1 w:val="00000000000000000000"/>
    <w:charset w:val="00"/>
    <w:family w:val="auto"/>
    <w:pitch w:val="default"/>
    <w:sig w:usb0="800000E3" w:usb1="30C97878" w:usb2="00000016" w:usb3="00000000" w:csb0="00000001" w:csb1="00000000"/>
  </w:font>
  <w:font w:name="Arial Black">
    <w:panose1 w:val="020B0A04020102020204"/>
    <w:charset w:val="00"/>
    <w:family w:val="auto"/>
    <w:pitch w:val="default"/>
    <w:sig w:usb0="00000287" w:usb1="00000000" w:usb2="00000000" w:usb3="00000000" w:csb0="2000009F" w:csb1="DFD70000"/>
  </w:font>
  <w:font w:name="Baoli SC">
    <w:panose1 w:val="02010600040101010101"/>
    <w:charset w:val="86"/>
    <w:family w:val="auto"/>
    <w:pitch w:val="default"/>
    <w:sig w:usb0="80000287" w:usb1="280F3C52" w:usb2="00000016" w:usb3="00000000" w:csb0="0004001F" w:csb1="00000000"/>
  </w:font>
  <w:font w:name="BM Hanna 11yrs Old">
    <w:panose1 w:val="020B0600000101010101"/>
    <w:charset w:val="81"/>
    <w:family w:val="auto"/>
    <w:pitch w:val="default"/>
    <w:sig w:usb0="00000203" w:usb1="21D12C10" w:usb2="00000010" w:usb3="00000000" w:csb0="00280005" w:csb1="00000000"/>
  </w:font>
  <w:font w:name="BM Dohyeon">
    <w:panose1 w:val="020B0600000101010101"/>
    <w:charset w:val="81"/>
    <w:family w:val="auto"/>
    <w:pitch w:val="default"/>
    <w:sig w:usb0="00000203" w:usb1="21D12C10" w:usb2="00000010" w:usb3="00000000" w:csb0="00280005" w:csb1="00000000"/>
  </w:font>
  <w:font w:name="BM Jua">
    <w:panose1 w:val="02020603020101020101"/>
    <w:charset w:val="81"/>
    <w:family w:val="auto"/>
    <w:pitch w:val="default"/>
    <w:sig w:usb0="00000203" w:usb1="21D12C10" w:usb2="00000010" w:usb3="00000000" w:csb0="00280005" w:csb1="00000000"/>
  </w:font>
  <w:font w:name="Arial Rounded MT Bold">
    <w:panose1 w:val="020F0704030504030204"/>
    <w:charset w:val="00"/>
    <w:family w:val="auto"/>
    <w:pitch w:val="default"/>
    <w:sig w:usb0="00000003" w:usb1="00000000" w:usb2="00000000" w:usb3="00000000" w:csb0="20000001" w:csb1="00000000"/>
  </w:font>
  <w:font w:name="Arial Hebrew Regular">
    <w:panose1 w:val="00000000000000000000"/>
    <w:charset w:val="00"/>
    <w:family w:val="auto"/>
    <w:pitch w:val="default"/>
    <w:sig w:usb0="80000843" w:usb1="40000002" w:usb2="00000000" w:usb3="00000000" w:csb0="00000001" w:csb1="00000000"/>
  </w:font>
  <w:font w:name="Arial Hebrew Light">
    <w:panose1 w:val="00000000000000000000"/>
    <w:charset w:val="00"/>
    <w:family w:val="auto"/>
    <w:pitch w:val="default"/>
    <w:sig w:usb0="80000843" w:usb1="40000002" w:usb2="00000000" w:usb3="00000000" w:csb0="00000001" w:csb1="00000000"/>
  </w:font>
  <w:font w:name="Arial Hebrew Scholar Regular">
    <w:panose1 w:val="00000000000000000000"/>
    <w:charset w:val="00"/>
    <w:family w:val="auto"/>
    <w:pitch w:val="default"/>
    <w:sig w:usb0="80000843" w:usb1="40000002" w:usb2="00000000" w:usb3="00000000" w:csb0="00000001"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Lato Extended">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6EB35A"/>
    <w:multiLevelType w:val="singleLevel"/>
    <w:tmpl w:val="626EB35A"/>
    <w:lvl w:ilvl="0" w:tentative="0">
      <w:start w:val="1"/>
      <w:numFmt w:val="decimal"/>
      <w:lvlText w:val="%1."/>
      <w:lvlJc w:val="left"/>
      <w:pPr>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19FA170"/>
    <w:rsid w:val="05F2FADA"/>
    <w:rsid w:val="1AFFB9D4"/>
    <w:rsid w:val="2CB9B581"/>
    <w:rsid w:val="2F7BA8AD"/>
    <w:rsid w:val="2FA662BC"/>
    <w:rsid w:val="2FFD61BA"/>
    <w:rsid w:val="353B7D73"/>
    <w:rsid w:val="38FF3E26"/>
    <w:rsid w:val="3BDF2CA5"/>
    <w:rsid w:val="3DF4EC28"/>
    <w:rsid w:val="3FF67B88"/>
    <w:rsid w:val="3FFF0232"/>
    <w:rsid w:val="4FFD6BF6"/>
    <w:rsid w:val="57FF2EC8"/>
    <w:rsid w:val="58E7B1A3"/>
    <w:rsid w:val="59B7CA21"/>
    <w:rsid w:val="5AD78364"/>
    <w:rsid w:val="5B6848D0"/>
    <w:rsid w:val="5BDF08BF"/>
    <w:rsid w:val="5BE64650"/>
    <w:rsid w:val="5C759305"/>
    <w:rsid w:val="5C7FBC12"/>
    <w:rsid w:val="5DF230F4"/>
    <w:rsid w:val="5EAE02FD"/>
    <w:rsid w:val="5EBA1B31"/>
    <w:rsid w:val="5EF67E1E"/>
    <w:rsid w:val="5F5F99FE"/>
    <w:rsid w:val="5F7FA829"/>
    <w:rsid w:val="5FB5D9D5"/>
    <w:rsid w:val="5FDBD24E"/>
    <w:rsid w:val="607693EF"/>
    <w:rsid w:val="66F7AC3A"/>
    <w:rsid w:val="68FFC941"/>
    <w:rsid w:val="695D0D7C"/>
    <w:rsid w:val="6967A606"/>
    <w:rsid w:val="69F7F4D9"/>
    <w:rsid w:val="6DFD76FA"/>
    <w:rsid w:val="6F3FE28F"/>
    <w:rsid w:val="6F7E2C25"/>
    <w:rsid w:val="6FBF7B70"/>
    <w:rsid w:val="6FFF929F"/>
    <w:rsid w:val="73A31FDE"/>
    <w:rsid w:val="747C8DFB"/>
    <w:rsid w:val="755DA04C"/>
    <w:rsid w:val="75F3AF91"/>
    <w:rsid w:val="76EDCEF9"/>
    <w:rsid w:val="76F63398"/>
    <w:rsid w:val="777F8C1F"/>
    <w:rsid w:val="77F77767"/>
    <w:rsid w:val="77FAE870"/>
    <w:rsid w:val="77FFB68F"/>
    <w:rsid w:val="7B3F71C4"/>
    <w:rsid w:val="7BC4FF46"/>
    <w:rsid w:val="7BF35BE9"/>
    <w:rsid w:val="7BFF76C4"/>
    <w:rsid w:val="7BFFD9D8"/>
    <w:rsid w:val="7E3FB2F6"/>
    <w:rsid w:val="7E77648B"/>
    <w:rsid w:val="7EC5ECFB"/>
    <w:rsid w:val="7EFFEDE9"/>
    <w:rsid w:val="7F6F6077"/>
    <w:rsid w:val="7FBF7C54"/>
    <w:rsid w:val="7FCD40C1"/>
    <w:rsid w:val="7FD7D38F"/>
    <w:rsid w:val="957FB636"/>
    <w:rsid w:val="9E962F1B"/>
    <w:rsid w:val="9FA7D694"/>
    <w:rsid w:val="9FFCF2D9"/>
    <w:rsid w:val="9FFFD258"/>
    <w:rsid w:val="AD9F8B88"/>
    <w:rsid w:val="AEDD2133"/>
    <w:rsid w:val="B9FBB57F"/>
    <w:rsid w:val="BB77E69E"/>
    <w:rsid w:val="BBE70AD7"/>
    <w:rsid w:val="BE742718"/>
    <w:rsid w:val="BFBEF398"/>
    <w:rsid w:val="BFEAC8EE"/>
    <w:rsid w:val="C9CD7CE8"/>
    <w:rsid w:val="CEF8F7FC"/>
    <w:rsid w:val="CFBF2002"/>
    <w:rsid w:val="CFF7A6B9"/>
    <w:rsid w:val="D8BF4C07"/>
    <w:rsid w:val="D93DC1F0"/>
    <w:rsid w:val="DB7DB501"/>
    <w:rsid w:val="DBFF5727"/>
    <w:rsid w:val="DCCC950E"/>
    <w:rsid w:val="DCF8F804"/>
    <w:rsid w:val="DDBBF4BC"/>
    <w:rsid w:val="DDBF8646"/>
    <w:rsid w:val="DE4E3AF8"/>
    <w:rsid w:val="DE744825"/>
    <w:rsid w:val="DEEBE857"/>
    <w:rsid w:val="DFF703C2"/>
    <w:rsid w:val="DFF9E39A"/>
    <w:rsid w:val="DFFFF745"/>
    <w:rsid w:val="E3378915"/>
    <w:rsid w:val="E75B0838"/>
    <w:rsid w:val="E76B5386"/>
    <w:rsid w:val="E7CFFCCC"/>
    <w:rsid w:val="E9ECD50A"/>
    <w:rsid w:val="EBB35B9E"/>
    <w:rsid w:val="EBCE5B18"/>
    <w:rsid w:val="ED7F246B"/>
    <w:rsid w:val="EDEEF72A"/>
    <w:rsid w:val="EFA7C51C"/>
    <w:rsid w:val="F19FA170"/>
    <w:rsid w:val="F1FDA236"/>
    <w:rsid w:val="F59F0621"/>
    <w:rsid w:val="F79A4B49"/>
    <w:rsid w:val="F7EDF1FF"/>
    <w:rsid w:val="F7F572AA"/>
    <w:rsid w:val="F8C31D16"/>
    <w:rsid w:val="F93B5E3B"/>
    <w:rsid w:val="FA73B8A2"/>
    <w:rsid w:val="FBDD049B"/>
    <w:rsid w:val="FCDE0FA7"/>
    <w:rsid w:val="FD4CEA7E"/>
    <w:rsid w:val="FED75D98"/>
    <w:rsid w:val="FEFE5FAB"/>
    <w:rsid w:val="FF1B31E8"/>
    <w:rsid w:val="FF6DED49"/>
    <w:rsid w:val="FF7F2B84"/>
    <w:rsid w:val="FFAE74B4"/>
    <w:rsid w:val="FFBFB711"/>
    <w:rsid w:val="FFD02C6E"/>
    <w:rsid w:val="FFE57117"/>
    <w:rsid w:val="FFE97048"/>
    <w:rsid w:val="FFF8463A"/>
    <w:rsid w:val="FFFAAA0E"/>
    <w:rsid w:val="FFFB2F2C"/>
    <w:rsid w:val="FFFF6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Normal (Web)"/>
    <w:basedOn w:val="1"/>
    <w:qFormat/>
    <w:uiPriority w:val="0"/>
    <w:rPr>
      <w:sz w:val="24"/>
      <w:szCs w:val="24"/>
    </w:rPr>
  </w:style>
  <w:style w:type="character" w:styleId="5">
    <w:name w:val="Emphasis"/>
    <w:basedOn w:val="4"/>
    <w:qFormat/>
    <w:uiPriority w:val="0"/>
    <w:rPr>
      <w:i/>
      <w:iCs/>
    </w:rPr>
  </w:style>
  <w:style w:type="character" w:styleId="6">
    <w:name w:val="Hyperlink"/>
    <w:basedOn w:val="4"/>
    <w:qFormat/>
    <w:uiPriority w:val="0"/>
    <w:rPr>
      <w:color w:val="0000FF"/>
      <w:u w:val="single"/>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Office_3.9.6.6441_F1E327BC-269C-435d-A152-05C5408002CA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2022-04-27T12:35:00Z</dcterms:created>
  <dc:creator>lideyi</dc:creator>
  <cp:lastModifiedBy>lideyi</cp:lastModifiedBy>
  <dcterms:modified xsi:type="dcterms:W3CDTF">2022-06-03T21:36:30Z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1033-3.9.6.6441</vt:lpwstr>
  </property>
</Properties>
</file>