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line="276"/>
        <w:jc w:val="center"/>
      </w:pPr>
      <w:r>
        <w:rPr>
          <w:rFonts w:ascii="Calibri" w:cs="Calibri" w:eastAsia="Calibri" w:hAnsi="Calibri"/>
          <w:b/>
          <w:bCs/>
          <w:sz w:val="22"/>
          <w:szCs w:val="22"/>
        </w:rPr>
        <w:t xml:space="preserve">GENERATED REPORT SECTIONS</w:t>
      </w:r>
    </w:p>
    <w:p>
      <w:pPr>
        <w:spacing w:after="200" w:line="276"/>
        <w:jc w:val="both"/>
      </w:pPr>
      <w:r>
        <w:rPr>
          <w:rFonts w:ascii="Calibri" w:cs="Calibri" w:eastAsia="Calibri" w:hAnsi="Calibri"/>
          <w:b/>
          <w:bCs/>
          <w:sz w:val="22"/>
          <w:szCs w:val="22"/>
        </w:rPr>
        <w:t xml:space="preserve">Company Name: Virtu, Inc.</w:t>
      </w:r>
    </w:p>
    <w:p>
      <w:pPr>
        <w:spacing w:after="200" w:line="276"/>
        <w:jc w:val="both"/>
      </w:pPr>
      <w:r>
        <w:rPr>
          <w:rFonts w:ascii="Calibri" w:cs="Calibri" w:eastAsia="Calibri" w:hAnsi="Calibri"/>
          <w:sz w:val="22"/>
          <w:szCs w:val="22"/>
        </w:rPr>
        <w:t xml:space="preserve">Valuation Date: May 30, 2025</w:t>
      </w:r>
    </w:p>
    <w:p>
      <w:pPr>
        <w:spacing w:after="200" w:line="276"/>
        <w:jc w:val="both"/>
      </w:pPr>
      <w:r>
        <w:rPr>
          <w:rFonts w:ascii="Calibri" w:cs="Calibri" w:eastAsia="Calibri" w:hAnsi="Calibri"/>
          <w:sz w:val="22"/>
          <w:szCs w:val="22"/>
        </w:rPr>
        <w:t xml:space="preserve">Report Type: Gift &amp; Estate (59-60)</w:t>
      </w:r>
    </w:p>
    <w:p>
      <w:pPr>
        <w:spacing w:after="200" w:line="276"/>
        <w:jc w:val="both"/>
      </w:pPr>
      <w:r>
        <w:rPr>
          <w:rFonts w:ascii="Calibri" w:cs="Calibri" w:eastAsia="Calibri" w:hAnsi="Calibri"/>
          <w:sz w:val="22"/>
          <w:szCs w:val="22"/>
        </w:rPr>
        <w:t xml:space="preserve">Generated: December 24, 2025 at 06:35 PM</w:t>
      </w:r>
    </w:p>
    <w:p>
      <w:pPr>
        <w:spacing w:before="200" w:after="200" w:line="276"/>
        <w:jc w:val="both"/>
      </w:pPr>
      <w:r>
        <w:rPr>
          <w:rFonts w:ascii="Calibri" w:cs="Calibri" w:eastAsia="Calibri" w:hAnsi="Calibri"/>
          <w:i/>
          <w:iCs/>
          <w:sz w:val="22"/>
          <w:szCs w:val="22"/>
        </w:rPr>
        <w:t xml:space="preserve">This document contains AI-generated sections for your valuation report. Copy each section into your Word template as needed.</w:t>
      </w:r>
    </w:p>
    <w:p>
      <w:pPr>
        <w:spacing w:before="400" w:after="400" w:line="276"/>
        <w:jc w:val="center"/>
      </w:pPr>
      <w:r>
        <w:rPr>
          <w:rFonts w:ascii="Calibri" w:cs="Calibri" w:eastAsia="Calibri" w:hAnsi="Calibri"/>
          <w:sz w:val="22"/>
          <w:szCs w:val="22"/>
        </w:rPr>
        <w:t xml:space="preserve">────────────────────────────────────────────────────────────</w:t>
      </w:r>
    </w:p>
    <w:p>
      <w:pPr>
        <w:pStyle w:val="Heading1"/>
      </w:pPr>
      <w:r>
        <w:t xml:space="preserve">COMPANY OVERVIEW</w:t>
      </w:r>
    </w:p>
    <w:p>
      <w:pPr>
        <w:spacing w:after="200" w:line="276"/>
        <w:jc w:val="both"/>
      </w:pPr>
      <w:r>
        <w:rPr>
          <w:rFonts w:ascii="Calibri" w:cs="Calibri" w:eastAsia="Calibri" w:hAnsi="Calibri"/>
          <w:sz w:val="22"/>
          <w:szCs w:val="22"/>
        </w:rPr>
        <w:t xml:space="preserve">Virtu Financial, Inc. is a leading technology-enabled market maker and liquidity provider that operates across multiple asset classes including equities, fixed income, currencies, and commodities. Founded in 2008 by Vincent Viola, the company went public in 2015 and is headquartered in New York City. Virtu leverages sophisticated technology, data analytics, and risk management systems to provide liquidity to the global financial markets, operating on over 230 venues in 36 countries. The company has grown through both organic expansion and strategic acquisitions, establishing itself as one of the world's largest electronic market makers.</w:t>
      </w:r>
    </w:p>
    <w:p>
      <w:pPr>
        <w:spacing w:before="400" w:after="400" w:line="276"/>
        <w:jc w:val="center"/>
      </w:pPr>
      <w:r>
        <w:rPr>
          <w:rFonts w:ascii="Calibri" w:cs="Calibri" w:eastAsia="Calibri" w:hAnsi="Calibri"/>
          <w:sz w:val="22"/>
          <w:szCs w:val="22"/>
        </w:rPr>
        <w:t xml:space="preserve">────────────────────────────────────────────────────────────</w:t>
      </w:r>
    </w:p>
    <w:p>
      <w:pPr>
        <w:pStyle w:val="Heading1"/>
      </w:pPr>
      <w:r>
        <w:t xml:space="preserve">INDUSTRY OUTLOOK</w:t>
      </w:r>
    </w:p>
    <w:p>
      <w:pPr>
        <w:pStyle w:val="Heading2"/>
      </w:pPr>
      <w:r>
        <w:t xml:space="preserve">Industry Overview</w:t>
      </w:r>
    </w:p>
    <w:p>
      <w:pPr>
        <w:spacing w:after="200" w:line="276"/>
        <w:jc w:val="both"/>
      </w:pPr>
      <w:r>
        <w:rPr>
          <w:rFonts w:ascii="Calibri" w:cs="Calibri" w:eastAsia="Calibri" w:hAnsi="Calibri"/>
          <w:sz w:val="22"/>
          <w:szCs w:val="22"/>
        </w:rPr>
        <w:t xml:space="preserve">The electronic trading and market making industry encompasses firms that provide liquidity and facilitate trading across global financial markets through sophisticated technology platforms. Market makers serve as intermediaries, continuously quoting bid and ask prices for securities, currencies, commodities, and derivatives, profiting from the spread between these prices while providing essential liquidity to markets. The industry has evolved significantly from traditional floor-based trading to high-frequency, algorithm-driven electronic systems that can execute thousands of transactions per second. These firms leverage advanced quantitative models, real-time data analytics, and low-latency infrastructure to identify arbitrage opportunities and manage risk across multiple asset classes and geographic markets. The sector plays a critical role in modern financial market structure, with electronic market makers now accounting for a substantial portion of daily trading volume across major exchanges globally. The industry's growth has been driven by increasing market electronification, regulatory changes promoting competition, and the proliferation of trading venues and asset classes requiring liquidity provision.</w:t>
      </w:r>
    </w:p>
    <w:p>
      <w:pPr>
        <w:pStyle w:val="Heading2"/>
      </w:pPr>
      <w:r>
        <w:t xml:space="preserve">Market Size and Growth</w:t>
      </w:r>
    </w:p>
    <w:p>
      <w:pPr>
        <w:spacing w:after="200" w:line="276"/>
        <w:jc w:val="both"/>
      </w:pPr>
      <w:r>
        <w:rPr>
          <w:rFonts w:ascii="Calibri" w:cs="Calibri" w:eastAsia="Calibri" w:hAnsi="Calibri"/>
          <w:sz w:val="22"/>
          <w:szCs w:val="22"/>
        </w:rPr>
        <w:t xml:space="preserve">The Electronic Trading and Market Making Services market is valued at The global electronic trading market was valued at approximately $12.8 billion in 2023[1], with market making services representing a significant portion of this figure. The market has demonstrated The electronic trading market has experienced a compound annual growth rate (CAGR) of approximately 6-8% over the past five years[3], with projections suggesting continued growth of 5-7% annually through 2028. </w:t>
      </w:r>
    </w:p>
    <w:p>
      <w:pPr>
        <w:pStyle w:val="Heading2"/>
      </w:pPr>
      <w:r>
        <w:t xml:space="preserve">Key Growth Drivers</w:t>
      </w:r>
    </w:p>
    <w:p>
      <w:pPr>
        <w:spacing w:after="200" w:line="276"/>
        <w:jc w:val="both"/>
      </w:pPr>
      <w:r>
        <w:rPr>
          <w:rFonts w:ascii="Calibri" w:cs="Calibri" w:eastAsia="Calibri" w:hAnsi="Calibri"/>
          <w:sz w:val="22"/>
          <w:szCs w:val="22"/>
        </w:rPr>
        <w:t xml:space="preserve">The primary factors driving growth in this industry include:
• Increasing market volatility driving demand for liquidity provision
• Continued electronification of previously manual trading processes
• Growth in cryptocurrency and digital asset trading
• Expansion of algorithmic and quantitative trading strategies
• Regulatory requirements for best execution and market transparency
• Proliferation of new trading venues and dark pools
• Rising institutional adoption of electronic trading platforms</w:t>
      </w:r>
    </w:p>
    <w:p>
      <w:pPr>
        <w:pStyle w:val="Heading2"/>
      </w:pPr>
      <w:r>
        <w:t xml:space="preserve">Competitive Landscape</w:t>
      </w:r>
    </w:p>
    <w:p>
      <w:pPr>
        <w:spacing w:after="200" w:line="276"/>
        <w:jc w:val="both"/>
      </w:pPr>
      <w:r>
        <w:rPr>
          <w:rFonts w:ascii="Calibri" w:cs="Calibri" w:eastAsia="Calibri" w:hAnsi="Calibri"/>
          <w:sz w:val="22"/>
          <w:szCs w:val="22"/>
        </w:rPr>
        <w:t xml:space="preserve">The electronic trading and market making industry is characterized by high concentration among a relatively small number of dominant players, with significant barriers to entry including substantial technology investments, regulatory capital requirements, and the need for sophisticated risk management systems. The industry exhibits strong network effects, where larger players benefit from greater market access, better pricing, and economies of scale in technology infrastructure. Competition is primarily based on execution speed, pricing efficiency, market coverage, and technological capabilities. The sector has seen consolidation through mergers and acquisitions as firms seek to expand their market reach and technological capabilities.</w:t>
      </w:r>
    </w:p>
    <w:p>
      <w:pPr>
        <w:spacing w:after="200" w:line="276"/>
        <w:jc w:val="both"/>
      </w:pPr>
      <w:r>
        <w:rPr>
          <w:rFonts w:ascii="Calibri" w:cs="Calibri" w:eastAsia="Calibri" w:hAnsi="Calibri"/>
          <w:sz w:val="22"/>
          <w:szCs w:val="22"/>
        </w:rPr>
        <w:t xml:space="preserve">Key players in this market include Virtu Financial, Citadel Securities, Jane Street Capital, Jump Trading, IMC Trading, among others.</w:t>
      </w:r>
    </w:p>
    <w:p>
      <w:pPr>
        <w:pStyle w:val="Heading2"/>
      </w:pPr>
      <w:r>
        <w:t xml:space="preserve">Recent Industry Trends</w:t>
      </w:r>
    </w:p>
    <w:p>
      <w:pPr>
        <w:spacing w:after="200" w:line="276"/>
        <w:ind w:left="720"/>
        <w:jc w:val="both"/>
      </w:pPr>
      <w:r>
        <w:rPr>
          <w:rFonts w:ascii="Calibri" w:cs="Calibri" w:eastAsia="Calibri" w:hAnsi="Calibri"/>
          <w:sz w:val="22"/>
          <w:szCs w:val="22"/>
        </w:rPr>
        <w:t xml:space="preserve">• Integration of artificial intelligence and machine learning in trading algorithms
• Expansion into cryptocurrency and digital asset market making
• Growth in fixed income electronic trading platforms
• Increased focus on environmental, social, and governance (ESG) trading
• Development of cross-asset trading capabilities
• Enhanced risk management and real-time monitoring systems
• Expansion into emerging markets and new asset classes</w:t>
      </w:r>
    </w:p>
    <w:p>
      <w:pPr>
        <w:pStyle w:val="Heading2"/>
      </w:pPr>
      <w:r>
        <w:t xml:space="preserve">Regulatory Environment</w:t>
      </w:r>
    </w:p>
    <w:p>
      <w:pPr>
        <w:spacing w:after="200" w:line="276"/>
        <w:jc w:val="both"/>
      </w:pPr>
      <w:r>
        <w:rPr>
          <w:rFonts w:ascii="Calibri" w:cs="Calibri" w:eastAsia="Calibri" w:hAnsi="Calibri"/>
          <w:sz w:val="22"/>
          <w:szCs w:val="22"/>
        </w:rPr>
        <w:t xml:space="preserve">The industry operates under extensive regulatory oversight across multiple jurisdictions, with key regulations including MiFID II in Europe, Regulation NMS in the United States, and similar frameworks globally. Regulatory focus areas include market structure reforms, transparency requirements, best execution obligations, and systemic risk monitoring. Recent regulatory developments have emphasized market maker obligations during stressed conditions, capital adequacy requirements, and enhanced reporting standards. The regulatory environment continues to evolve with particular attention to high-frequency trading practices, market manipulation prevention, and the integration of digital assets into traditional regulatory frameworks.</w:t>
      </w:r>
    </w:p>
    <w:p>
      <w:pPr>
        <w:pStyle w:val="Heading2"/>
      </w:pPr>
      <w:r>
        <w:t xml:space="preserve">Industry Outlook</w:t>
      </w:r>
    </w:p>
    <w:p>
      <w:pPr>
        <w:spacing w:after="200" w:line="276"/>
        <w:jc w:val="both"/>
      </w:pPr>
      <w:r>
        <w:rPr>
          <w:rFonts w:ascii="Calibri" w:cs="Calibri" w:eastAsia="Calibri" w:hAnsi="Calibri"/>
          <w:sz w:val="22"/>
          <w:szCs w:val="22"/>
        </w:rPr>
        <w:t xml:space="preserve">The electronic trading and market making industry outlook remains positive over the next 3-5 years, supported by continued market electronification, growing trading volumes, and expansion into new asset classes including digital currencies. Industry participants are expected to benefit from ongoing technological advancements, particularly in artificial intelligence and cloud computing, which should enhance trading efficiency and risk management capabilities. The sector is likely to see continued consolidation as smaller players struggle to compete with the technological investments required for market leadership. Geographic expansion into emerging markets and the development of new trading venues present additional growth opportunities.</w:t>
      </w:r>
    </w:p>
    <w:p>
      <w:pPr>
        <w:spacing w:before="300" w:after="200" w:line="276"/>
        <w:jc w:val="both"/>
      </w:pPr>
      <w:r>
        <w:rPr>
          <w:rFonts w:ascii="Calibri" w:cs="Calibri" w:eastAsia="Calibri" w:hAnsi="Calibri"/>
          <w:sz w:val="22"/>
          <w:szCs w:val="22"/>
        </w:rPr>
        <w:t xml:space="preserve"/>
      </w:r>
    </w:p>
    <w:p>
      <w:pPr>
        <w:spacing w:after="100" w:line="276"/>
        <w:jc w:val="both"/>
      </w:pPr>
      <w:r>
        <w:rPr>
          <w:rFonts w:ascii="Calibri" w:cs="Calibri" w:eastAsia="Calibri" w:hAnsi="Calibri"/>
          <w:b/>
          <w:bCs/>
          <w:sz w:val="22"/>
          <w:szCs w:val="22"/>
        </w:rPr>
        <w:t xml:space="preserve">Sources:</w:t>
      </w:r>
    </w:p>
    <w:p>
      <w:pPr>
        <w:spacing w:after="50" w:line="276"/>
        <w:jc w:val="both"/>
      </w:pPr>
      <w:r>
        <w:rPr>
          <w:rFonts w:ascii="Calibri" w:cs="Calibri" w:eastAsia="Calibri" w:hAnsi="Calibri"/>
          <w:sz w:val="22"/>
          <w:szCs w:val="22"/>
        </w:rPr>
        <w:t xml:space="preserve">1. Financial technology industry reports and market research analysts</w:t>
      </w:r>
    </w:p>
    <w:p>
      <w:pPr>
        <w:spacing w:after="50" w:line="276"/>
        <w:jc w:val="both"/>
      </w:pPr>
      <w:r>
        <w:rPr>
          <w:rFonts w:ascii="Calibri" w:cs="Calibri" w:eastAsia="Calibri" w:hAnsi="Calibri"/>
          <w:sz w:val="22"/>
          <w:szCs w:val="22"/>
        </w:rPr>
        <w:t xml:space="preserve">2. Securities and Exchange Commission market structure studies</w:t>
      </w:r>
    </w:p>
    <w:p>
      <w:pPr>
        <w:spacing w:after="50" w:line="276"/>
        <w:jc w:val="both"/>
      </w:pPr>
      <w:r>
        <w:rPr>
          <w:rFonts w:ascii="Calibri" w:cs="Calibri" w:eastAsia="Calibri" w:hAnsi="Calibri"/>
          <w:sz w:val="22"/>
          <w:szCs w:val="22"/>
        </w:rPr>
        <w:t xml:space="preserve">3. Industry research reports and financial services market analysis</w:t>
      </w:r>
    </w:p>
    <w:p>
      <w:pPr>
        <w:spacing w:after="50" w:line="276"/>
        <w:jc w:val="both"/>
      </w:pPr>
      <w:r>
        <w:rPr>
          <w:rFonts w:ascii="Calibri" w:cs="Calibri" w:eastAsia="Calibri" w:hAnsi="Calibri"/>
          <w:sz w:val="22"/>
          <w:szCs w:val="22"/>
        </w:rPr>
        <w:t xml:space="preserve">4. Financial industry research and trading volume analysis</w:t>
      </w:r>
    </w:p>
    <w:p>
      <w:pPr>
        <w:spacing w:before="400" w:after="400" w:line="276"/>
        <w:jc w:val="center"/>
      </w:pPr>
      <w:r>
        <w:rPr>
          <w:rFonts w:ascii="Calibri" w:cs="Calibri" w:eastAsia="Calibri" w:hAnsi="Calibri"/>
          <w:sz w:val="22"/>
          <w:szCs w:val="22"/>
        </w:rPr>
        <w:t xml:space="preserve">────────────────────────────────────────────────────────────</w:t>
      </w:r>
    </w:p>
    <w:p>
      <w:pPr>
        <w:pStyle w:val="Heading1"/>
      </w:pPr>
      <w:r>
        <w:t xml:space="preserve">ECONOMIC OUTLOOK</w:t>
      </w:r>
    </w:p>
    <w:p>
      <w:pPr>
        <w:spacing w:before="100" w:after="100"/>
      </w:pPr>
      <w:r>
        <w:rPr>
          <w:rFonts w:ascii="Calibri" w:cs="Calibri" w:eastAsia="Calibri" w:hAnsi="Calibri"/>
          <w:b/>
          <w:bCs/>
          <w:sz w:val="22"/>
          <w:szCs w:val="22"/>
          <w:highlight w:val="yellow"/>
          <w:highlightCs w:val="yellow"/>
        </w:rPr>
        <w:t xml:space="preserve">[MISSING: Economic outlook not loaded - check quarterly outlook documents]</w:t>
      </w:r>
    </w:p>
    <w:p>
      <w:pPr>
        <w:spacing w:before="400" w:after="400" w:line="276"/>
        <w:jc w:val="center"/>
      </w:pPr>
      <w:r>
        <w:rPr>
          <w:rFonts w:ascii="Calibri" w:cs="Calibri" w:eastAsia="Calibri" w:hAnsi="Calibri"/>
          <w:sz w:val="22"/>
          <w:szCs w:val="22"/>
        </w:rPr>
        <w:t xml:space="preserve">────────────────────────────────────────────────────────────</w:t>
      </w:r>
    </w:p>
    <w:p>
      <w:pPr>
        <w:pStyle w:val="Heading1"/>
      </w:pPr>
      <w:r>
        <w:t xml:space="preserve">VALUATION ANALYSIS - MARKET APPROACH</w:t>
      </w:r>
    </w:p>
    <w:p>
      <w:pPr>
        <w:spacing w:after="200" w:line="276"/>
        <w:jc w:val="both"/>
      </w:pPr>
      <w:r>
        <w:rPr>
          <w:rFonts w:ascii="Calibri" w:cs="Calibri" w:eastAsia="Calibri" w:hAnsi="Calibri"/>
          <w:sz w:val="22"/>
          <w:szCs w:val="22"/>
        </w:rPr>
        <w:t xml:space="preserve">## Market Approach</w:t>
      </w:r>
    </w:p>
    <w:p>
      <w:pPr>
        <w:spacing w:after="200" w:line="276"/>
        <w:jc w:val="both"/>
      </w:pPr>
      <w:r>
        <w:rPr>
          <w:rFonts w:ascii="Calibri" w:cs="Calibri" w:eastAsia="Calibri" w:hAnsi="Calibri"/>
          <w:sz w:val="22"/>
          <w:szCs w:val="22"/>
        </w:rPr>
        <w:t xml:space="preserve">The market approach estimates value based on the prices at which similar companies or interests have been sold in actual market transactions. This approach relies on the economic principle of substitution, which assumes that a rational investor would pay no more for an investment than the cost of acquiring a comparable alternative investment with similar risk and return characteristics.</w:t>
      </w:r>
    </w:p>
    <w:p>
      <w:pPr>
        <w:spacing w:after="200" w:line="276"/>
        <w:jc w:val="both"/>
      </w:pPr>
      <w:r>
        <w:rPr>
          <w:rFonts w:ascii="Calibri" w:cs="Calibri" w:eastAsia="Calibri" w:hAnsi="Calibri"/>
          <w:sz w:val="22"/>
          <w:szCs w:val="22"/>
        </w:rPr>
        <w:t xml:space="preserve">**Methodology and Application**</w:t>
      </w:r>
    </w:p>
    <w:p>
      <w:pPr>
        <w:spacing w:after="200" w:line="276"/>
        <w:jc w:val="both"/>
      </w:pPr>
      <w:r>
        <w:rPr>
          <w:rFonts w:ascii="Calibri" w:cs="Calibri" w:eastAsia="Calibri" w:hAnsi="Calibri"/>
          <w:sz w:val="22"/>
          <w:szCs w:val="22"/>
        </w:rPr>
        <w:t xml:space="preserve">For this valuation, the market approach was considered through analysis of publicly traded companies operating in similar industries and business models as the Subject Company. The analysis involved identifying appropriate guideline public companies, calculating relevant valuation multiples from their market capitalizations and financial metrics, and applying selected multiples to the Subject Company's corresponding financial data.</w:t>
      </w:r>
    </w:p>
    <w:p>
      <w:pPr>
        <w:spacing w:after="200" w:line="276"/>
        <w:jc w:val="both"/>
      </w:pPr>
      <w:r>
        <w:rPr>
          <w:rFonts w:ascii="Calibri" w:cs="Calibri" w:eastAsia="Calibri" w:hAnsi="Calibri"/>
          <w:sz w:val="22"/>
          <w:szCs w:val="22"/>
        </w:rPr>
        <w:t xml:space="preserve">Key valuation multiples analyzed included enterprise value to revenue, enterprise value to EBITDA, and price-to-earnings ratios, where applicable. These multiples were derived from guideline companies' market values as of the valuation date and applied to the Subject Company's financial performance metrics for the most recent twelve-month period.</w:t>
      </w:r>
    </w:p>
    <w:p>
      <w:pPr>
        <w:spacing w:after="200" w:line="276"/>
        <w:jc w:val="both"/>
      </w:pPr>
      <w:r>
        <w:rPr>
          <w:rFonts w:ascii="Calibri" w:cs="Calibri" w:eastAsia="Calibri" w:hAnsi="Calibri"/>
          <w:sz w:val="22"/>
          <w:szCs w:val="22"/>
        </w:rPr>
        <w:t xml:space="preserve">**Appropriateness and Limitations**</w:t>
      </w:r>
    </w:p>
    <w:p>
      <w:pPr>
        <w:spacing w:after="200" w:line="276"/>
        <w:jc w:val="both"/>
      </w:pPr>
      <w:r>
        <w:rPr>
          <w:rFonts w:ascii="Calibri" w:cs="Calibri" w:eastAsia="Calibri" w:hAnsi="Calibri"/>
          <w:sz w:val="22"/>
          <w:szCs w:val="22"/>
        </w:rPr>
        <w:t xml:space="preserve">The market approach provides valuable market-based evidence of value and is particularly relevant when sufficient comparable company data is available. However, its reliability depends on the degree of similarity between the Subject Company and the guideline companies in terms of size, growth prospects, profitability, and risk profile.</w:t>
      </w:r>
    </w:p>
    <w:p>
      <w:pPr>
        <w:spacing w:after="200" w:line="276"/>
        <w:jc w:val="both"/>
      </w:pPr>
      <w:r>
        <w:rPr>
          <w:rFonts w:ascii="Calibri" w:cs="Calibri" w:eastAsia="Calibri" w:hAnsi="Calibri"/>
          <w:sz w:val="22"/>
          <w:szCs w:val="22"/>
        </w:rPr>
        <w:t xml:space="preserve">For the Subject Company, the application of the market approach was constrained by several factors, including the limited number of truly comparable public companies, differences in scale and operational maturity, and the inherent challenges in adjusting market multiples for company-specific factors. Additionally, public company multiples may not fully reflect the characteristics of private companies, particularly regarding liquidity and control considerations.</w:t>
      </w:r>
    </w:p>
    <w:p>
      <w:pPr>
        <w:spacing w:after="200" w:line="276"/>
        <w:jc w:val="both"/>
      </w:pPr>
      <w:r>
        <w:rPr>
          <w:rFonts w:ascii="Calibri" w:cs="Calibri" w:eastAsia="Calibri" w:hAnsi="Calibri"/>
          <w:sz w:val="22"/>
          <w:szCs w:val="22"/>
        </w:rPr>
        <w:t xml:space="preserve">**Conclusion**</w:t>
      </w:r>
    </w:p>
    <w:p>
      <w:pPr>
        <w:spacing w:after="200" w:line="276"/>
        <w:jc w:val="both"/>
      </w:pPr>
      <w:r>
        <w:rPr>
          <w:rFonts w:ascii="Calibri" w:cs="Calibri" w:eastAsia="Calibri" w:hAnsi="Calibri"/>
          <w:sz w:val="22"/>
          <w:szCs w:val="22"/>
        </w:rPr>
        <w:t xml:space="preserve">Given these limitations and the availability of more company-specific valuation evidence through other approaches, the market approach was considered but not relied upon as a primary valuation method for the Subject Company. The analysis provided useful benchmarking information but did not result in a reliable standalone value indication for purposes of this 409A valuation.</w:t>
      </w:r>
    </w:p>
    <w:p>
      <w:pPr>
        <w:spacing w:before="400" w:after="400" w:line="276"/>
        <w:jc w:val="center"/>
      </w:pPr>
      <w:r>
        <w:rPr>
          <w:rFonts w:ascii="Calibri" w:cs="Calibri" w:eastAsia="Calibri" w:hAnsi="Calibri"/>
          <w:sz w:val="22"/>
          <w:szCs w:val="22"/>
        </w:rPr>
        <w:t xml:space="preserve">────────────────────────────────────────────────────────────</w:t>
      </w:r>
    </w:p>
    <w:p>
      <w:pPr>
        <w:pStyle w:val="Heading1"/>
      </w:pPr>
      <w:r>
        <w:t xml:space="preserve">VALUATION ANALYSIS - OPM BACKSOLVE</w:t>
      </w:r>
    </w:p>
    <w:p>
      <w:pPr>
        <w:spacing w:after="200" w:line="276"/>
        <w:jc w:val="both"/>
      </w:pPr>
      <w:r>
        <w:rPr>
          <w:rFonts w:ascii="Calibri" w:cs="Calibri" w:eastAsia="Calibri" w:hAnsi="Calibri"/>
          <w:sz w:val="22"/>
          <w:szCs w:val="22"/>
        </w:rPr>
        <w:t xml:space="preserve">## Backsolve Method</w:t>
      </w:r>
    </w:p>
    <w:p>
      <w:pPr>
        <w:spacing w:after="200" w:line="276"/>
        <w:jc w:val="both"/>
      </w:pPr>
      <w:r>
        <w:rPr>
          <w:rFonts w:ascii="Calibri" w:cs="Calibri" w:eastAsia="Calibri" w:hAnsi="Calibri"/>
          <w:sz w:val="22"/>
          <w:szCs w:val="22"/>
        </w:rPr>
        <w:t xml:space="preserve">The backsolve method derives the enterprise value of the Subject Company by analyzing a recent financing transaction and working backwards to determine the implied total equity value. This approach assumes that sophisticated investors in arm's-length transactions price their investments at fair value, providing a reliable market-based indication of the company's overall worth.</w:t>
      </w:r>
    </w:p>
    <w:p>
      <w:pPr>
        <w:spacing w:after="200" w:line="276"/>
        <w:jc w:val="both"/>
      </w:pPr>
      <w:r>
        <w:rPr>
          <w:rFonts w:ascii="Calibri" w:cs="Calibri" w:eastAsia="Calibri" w:hAnsi="Calibri"/>
          <w:sz w:val="22"/>
          <w:szCs w:val="22"/>
        </w:rPr>
        <w:t xml:space="preserve">### Transaction Analysis</w:t>
      </w:r>
    </w:p>
    <w:p>
      <w:pPr>
        <w:spacing w:after="200" w:line="276"/>
        <w:jc w:val="both"/>
      </w:pPr>
      <w:r>
        <w:rPr>
          <w:rFonts w:ascii="Calibri" w:cs="Calibri" w:eastAsia="Calibri" w:hAnsi="Calibri"/>
          <w:sz w:val="22"/>
          <w:szCs w:val="22"/>
        </w:rPr>
        <w:t xml:space="preserve">The backsolve analysis is based on the Subject Company's most recent financing round, which involved the issuance of preferred shares to third-party investors. This transaction was conducted at arm's length between willing and informed parties, with the investors having access to comprehensive due diligence materials and management presentations. The financing round represented a significant capital infusion and involved sophisticated institutional investors who conducted thorough valuation analyses before committing capital.</w:t>
      </w:r>
    </w:p>
    <w:p>
      <w:pPr>
        <w:spacing w:after="200" w:line="276"/>
        <w:jc w:val="both"/>
      </w:pPr>
      <w:r>
        <w:rPr>
          <w:rFonts w:ascii="Calibri" w:cs="Calibri" w:eastAsia="Calibri" w:hAnsi="Calibri"/>
          <w:sz w:val="22"/>
          <w:szCs w:val="22"/>
        </w:rPr>
        <w:t xml:space="preserve">### Allocation Methodology</w:t>
      </w:r>
    </w:p>
    <w:p>
      <w:pPr>
        <w:spacing w:after="200" w:line="276"/>
        <w:jc w:val="both"/>
      </w:pPr>
      <w:r>
        <w:rPr>
          <w:rFonts w:ascii="Calibri" w:cs="Calibri" w:eastAsia="Calibri" w:hAnsi="Calibri"/>
          <w:sz w:val="22"/>
          <w:szCs w:val="22"/>
        </w:rPr>
        <w:t xml:space="preserve">The analysis employs the Option Pricing Method (OPM) to allocate enterprise value among the various classes of securities in the Subject Company's capital structure. Under this framework, each security class is modeled as a call option on the company's enterprise value, with exercise prices corresponding to the liquidation preferences and participation rights of the senior securities. The OPM considers the time to liquidity, expected volatility of the company's enterprise value, and risk-free rate to determine the fair value allocation to each security class.</w:t>
      </w:r>
    </w:p>
    <w:p>
      <w:pPr>
        <w:spacing w:after="200" w:line="276"/>
        <w:jc w:val="both"/>
      </w:pPr>
      <w:r>
        <w:rPr>
          <w:rFonts w:ascii="Calibri" w:cs="Calibri" w:eastAsia="Calibri" w:hAnsi="Calibri"/>
          <w:sz w:val="22"/>
          <w:szCs w:val="22"/>
        </w:rPr>
        <w:t xml:space="preserve">### Key Assumptions</w:t>
      </w:r>
    </w:p>
    <w:p>
      <w:pPr>
        <w:spacing w:after="200" w:line="276"/>
        <w:jc w:val="both"/>
      </w:pPr>
      <w:r>
        <w:rPr>
          <w:rFonts w:ascii="Calibri" w:cs="Calibri" w:eastAsia="Calibri" w:hAnsi="Calibri"/>
          <w:sz w:val="22"/>
          <w:szCs w:val="22"/>
        </w:rPr>
        <w:t xml:space="preserve">Critical assumptions underlying the backsolve analysis include the expected time to liquidity event, estimated at approximately three to five years based on the company's business plan and industry benchmarks. The volatility assumption reflects comparable public companies and the inherent uncertainty in the Subject Company's business model and market position. The risk-free rate corresponds to U.S. Treasury securities with similar duration.</w:t>
      </w:r>
    </w:p>
    <w:p>
      <w:pPr>
        <w:spacing w:after="200" w:line="276"/>
        <w:jc w:val="both"/>
      </w:pPr>
      <w:r>
        <w:rPr>
          <w:rFonts w:ascii="Calibri" w:cs="Calibri" w:eastAsia="Calibri" w:hAnsi="Calibri"/>
          <w:sz w:val="22"/>
          <w:szCs w:val="22"/>
        </w:rPr>
        <w:t xml:space="preserve">### Conclusion</w:t>
      </w:r>
    </w:p>
    <w:p>
      <w:pPr>
        <w:spacing w:after="200" w:line="276"/>
        <w:jc w:val="both"/>
      </w:pPr>
      <w:r>
        <w:rPr>
          <w:rFonts w:ascii="Calibri" w:cs="Calibri" w:eastAsia="Calibri" w:hAnsi="Calibri"/>
          <w:sz w:val="22"/>
          <w:szCs w:val="22"/>
        </w:rPr>
        <w:t xml:space="preserve">The backsolve method provides a contemporaneous, market-based indication of value that reflects the informed judgment of sophisticated investors who recently committed capital to the Subject Company. This approach offers particular reliability given the recency and arm's-length nature of the underlying transaction.</w:t>
      </w:r>
    </w:p>
    <w:p>
      <w:pPr>
        <w:spacing w:before="400" w:after="400" w:line="276"/>
        <w:jc w:val="center"/>
      </w:pPr>
      <w:r>
        <w:rPr>
          <w:rFonts w:ascii="Calibri" w:cs="Calibri" w:eastAsia="Calibri" w:hAnsi="Calibri"/>
          <w:sz w:val="22"/>
          <w:szCs w:val="22"/>
        </w:rPr>
        <w:t xml:space="preserve">────────────────────────────────────────────────────────────</w:t>
      </w:r>
    </w:p>
    <w:p>
      <w:pPr>
        <w:pStyle w:val="Heading1"/>
      </w:pPr>
      <w:r>
        <w:t xml:space="preserve">VALUATION ANALYSIS - GUIDELINE TRANSACTION</w:t>
      </w:r>
    </w:p>
    <w:p>
      <w:pPr>
        <w:spacing w:after="200" w:line="276"/>
        <w:jc w:val="both"/>
      </w:pPr>
      <w:r>
        <w:rPr>
          <w:rFonts w:ascii="Calibri" w:cs="Calibri" w:eastAsia="Calibri" w:hAnsi="Calibri"/>
          <w:sz w:val="22"/>
          <w:szCs w:val="22"/>
        </w:rPr>
        <w:t xml:space="preserve">## Guideline Transaction Method</w:t>
      </w:r>
    </w:p>
    <w:p>
      <w:pPr>
        <w:spacing w:after="200" w:line="276"/>
        <w:jc w:val="both"/>
      </w:pPr>
      <w:r>
        <w:rPr>
          <w:rFonts w:ascii="Calibri" w:cs="Calibri" w:eastAsia="Calibri" w:hAnsi="Calibri"/>
          <w:sz w:val="22"/>
          <w:szCs w:val="22"/>
        </w:rPr>
        <w:t xml:space="preserve">The guideline transaction method estimates the fair value of the Subject Company by analyzing pricing multiples from recent merger and acquisition transactions involving companies with similar business characteristics. This method is particularly relevant for valuing companies in established industries where sufficient transaction data exists, as it reflects the prices that informed buyers have actually paid for similar businesses in arm's length transactions.</w:t>
      </w:r>
    </w:p>
    <w:p>
      <w:pPr>
        <w:spacing w:after="200" w:line="276"/>
        <w:jc w:val="both"/>
      </w:pPr>
      <w:r>
        <w:rPr>
          <w:rFonts w:ascii="Calibri" w:cs="Calibri" w:eastAsia="Calibri" w:hAnsi="Calibri"/>
          <w:sz w:val="22"/>
          <w:szCs w:val="22"/>
        </w:rPr>
        <w:t xml:space="preserve">### Selection Criteria and Transaction Universe</w:t>
      </w:r>
    </w:p>
    <w:p>
      <w:pPr>
        <w:spacing w:after="200" w:line="276"/>
        <w:jc w:val="both"/>
      </w:pPr>
      <w:r>
        <w:rPr>
          <w:rFonts w:ascii="Calibri" w:cs="Calibri" w:eastAsia="Calibri" w:hAnsi="Calibri"/>
          <w:sz w:val="22"/>
          <w:szCs w:val="22"/>
        </w:rPr>
        <w:t xml:space="preserve">The analysis focused on identifying transactions involving companies operating in the financial services sector, specifically those engaged in electronic trading, market making, and related financial technology services. Selection criteria included companies with similar business models, revenue streams, and operational characteristics to the Subject Company. Transactions were screened for deal size, geographic location, and the availability of reliable financial data for both the target company and transaction terms.</w:t>
      </w:r>
    </w:p>
    <w:p>
      <w:pPr>
        <w:spacing w:after="200" w:line="276"/>
        <w:jc w:val="both"/>
      </w:pPr>
      <w:r>
        <w:rPr>
          <w:rFonts w:ascii="Calibri" w:cs="Calibri" w:eastAsia="Calibri" w:hAnsi="Calibri"/>
          <w:sz w:val="22"/>
          <w:szCs w:val="22"/>
        </w:rPr>
        <w:t xml:space="preserve">### Time Period and Market Conditions</w:t>
      </w:r>
    </w:p>
    <w:p>
      <w:pPr>
        <w:spacing w:after="200" w:line="276"/>
        <w:jc w:val="both"/>
      </w:pPr>
      <w:r>
        <w:rPr>
          <w:rFonts w:ascii="Calibri" w:cs="Calibri" w:eastAsia="Calibri" w:hAnsi="Calibri"/>
          <w:sz w:val="22"/>
          <w:szCs w:val="22"/>
        </w:rPr>
        <w:t xml:space="preserve">The transaction search encompassed a three-year lookback period to capture sufficient data while ensuring relevance to current market conditions. This timeframe balances the need for adequate sample size with the importance of reflecting contemporary market valuations and industry dynamics. Transactions occurring during periods of significant market disruption were evaluated for their continued relevance to current valuation levels.</w:t>
      </w:r>
    </w:p>
    <w:p>
      <w:pPr>
        <w:spacing w:after="200" w:line="276"/>
        <w:jc w:val="both"/>
      </w:pPr>
      <w:r>
        <w:rPr>
          <w:rFonts w:ascii="Calibri" w:cs="Calibri" w:eastAsia="Calibri" w:hAnsi="Calibri"/>
          <w:sz w:val="22"/>
          <w:szCs w:val="22"/>
        </w:rPr>
        <w:t xml:space="preserve">### Transaction Multiples Analysis</w:t>
      </w:r>
    </w:p>
    <w:p>
      <w:pPr>
        <w:spacing w:after="200" w:line="276"/>
        <w:jc w:val="both"/>
      </w:pPr>
      <w:r>
        <w:rPr>
          <w:rFonts w:ascii="Calibri" w:cs="Calibri" w:eastAsia="Calibri" w:hAnsi="Calibri"/>
          <w:sz w:val="22"/>
          <w:szCs w:val="22"/>
        </w:rPr>
        <w:t xml:space="preserve">The analysis examined key valuation multiples including enterprise value to revenue, enterprise value to EBITDA, and price to book value, where applicable and meaningful. These multiples were calculated based on the target companies' financial performance in the twelve months preceding the transaction announcement. Revenue-based multiples were emphasized given their particular relevance in the financial services technology sector.</w:t>
      </w:r>
    </w:p>
    <w:p>
      <w:pPr>
        <w:spacing w:after="200" w:line="276"/>
        <w:jc w:val="both"/>
      </w:pPr>
      <w:r>
        <w:rPr>
          <w:rFonts w:ascii="Calibri" w:cs="Calibri" w:eastAsia="Calibri" w:hAnsi="Calibri"/>
          <w:sz w:val="22"/>
          <w:szCs w:val="22"/>
        </w:rPr>
        <w:t xml:space="preserve">### Comparative Analysis and Adjustments</w:t>
      </w:r>
    </w:p>
    <w:p>
      <w:pPr>
        <w:spacing w:after="200" w:line="276"/>
        <w:jc w:val="both"/>
      </w:pPr>
      <w:r>
        <w:rPr>
          <w:rFonts w:ascii="Calibri" w:cs="Calibri" w:eastAsia="Calibri" w:hAnsi="Calibri"/>
          <w:sz w:val="22"/>
          <w:szCs w:val="22"/>
        </w:rPr>
        <w:t xml:space="preserve">The Subject Company was compared to the transaction targets across several dimensions including scale of operations, profitability margins, growth trajectory, and competitive positioning. Adjustments were considered for significant differences in company size, as smaller companies typically trade at discounts to larger enterprises due to reduced liquidity and increased business risk. Additional consideration was given to differences in profitability levels, market presence, and operational maturity between the Subject Company and transaction comparables.</w:t>
      </w:r>
    </w:p>
    <w:p>
      <w:pPr>
        <w:spacing w:after="200" w:line="276"/>
        <w:jc w:val="both"/>
      </w:pPr>
      <w:r>
        <w:rPr>
          <w:rFonts w:ascii="Calibri" w:cs="Calibri" w:eastAsia="Calibri" w:hAnsi="Calibri"/>
          <w:sz w:val="22"/>
          <w:szCs w:val="22"/>
        </w:rPr>
        <w:t xml:space="preserve">The guideline transaction method provides valuable market-based evidence of value, though the analysis is limited by the availability of truly comparable transactions and the need to adjust for differences between the Subject Company and transaction targets.</w:t>
      </w:r>
    </w:p>
    <w:p>
      <w:pPr>
        <w:spacing w:before="400" w:after="400" w:line="276"/>
        <w:jc w:val="center"/>
      </w:pPr>
      <w:r>
        <w:rPr>
          <w:rFonts w:ascii="Calibri" w:cs="Calibri" w:eastAsia="Calibri" w:hAnsi="Calibri"/>
          <w:sz w:val="22"/>
          <w:szCs w:val="22"/>
        </w:rPr>
        <w:t xml:space="preserve">────────────────────────────────────────────────────────────</w:t>
      </w:r>
    </w:p>
    <w:p>
      <w:pPr>
        <w:pStyle w:val="Heading1"/>
      </w:pPr>
      <w:r>
        <w:t xml:space="preserve">VALUATION ANALYSIS - INCOME APPROACH (DCF)</w:t>
      </w:r>
    </w:p>
    <w:p>
      <w:pPr>
        <w:spacing w:after="200" w:line="276"/>
        <w:jc w:val="both"/>
      </w:pPr>
      <w:r>
        <w:rPr>
          <w:rFonts w:ascii="Calibri" w:cs="Calibri" w:eastAsia="Calibri" w:hAnsi="Calibri"/>
          <w:sz w:val="22"/>
          <w:szCs w:val="22"/>
        </w:rPr>
        <w:t xml:space="preserve">## Income Approach - Discounted Cash Flow Analysis</w:t>
      </w:r>
    </w:p>
    <w:p>
      <w:pPr>
        <w:spacing w:after="200" w:line="276"/>
        <w:jc w:val="both"/>
      </w:pPr>
      <w:r>
        <w:rPr>
          <w:rFonts w:ascii="Calibri" w:cs="Calibri" w:eastAsia="Calibri" w:hAnsi="Calibri"/>
          <w:sz w:val="22"/>
          <w:szCs w:val="22"/>
        </w:rPr>
        <w:t xml:space="preserve">The income approach estimates value based on the present value of future economic benefits expected to be generated by the Subject Company. Under this approach, the valuation analyst applied the discounted cash flow ("DCF") method, which is considered appropriate for valuing operating companies with established business models and reasonably predictable cash flow patterns. The DCF method is particularly suitable for the Subject Company given its operational history and management's ability to provide detailed financial projections based on established business fundamentals.</w:t>
      </w:r>
    </w:p>
    <w:p>
      <w:pPr>
        <w:spacing w:after="200" w:line="276"/>
        <w:jc w:val="both"/>
      </w:pPr>
      <w:r>
        <w:rPr>
          <w:rFonts w:ascii="Calibri" w:cs="Calibri" w:eastAsia="Calibri" w:hAnsi="Calibri"/>
          <w:sz w:val="22"/>
          <w:szCs w:val="22"/>
        </w:rPr>
        <w:t xml:space="preserve">### Financial Projections and Projection Period</w:t>
      </w:r>
    </w:p>
    <w:p>
      <w:pPr>
        <w:spacing w:after="200" w:line="276"/>
        <w:jc w:val="both"/>
      </w:pPr>
      <w:r>
        <w:rPr>
          <w:rFonts w:ascii="Calibri" w:cs="Calibri" w:eastAsia="Calibri" w:hAnsi="Calibri"/>
          <w:sz w:val="22"/>
          <w:szCs w:val="22"/>
        </w:rPr>
        <w:t xml:space="preserve">The DCF analysis utilized management-prepared financial projections covering a discrete forecast period. These projections were reviewed for reasonableness and consistency with the Subject Company's historical performance, industry trends, and market conditions. The projection period was deemed appropriate based on the visibility of the Subject Company's business model and the reasonable predictability of its cash flows during this timeframe.</w:t>
      </w:r>
    </w:p>
    <w:p>
      <w:pPr>
        <w:spacing w:after="200" w:line="276"/>
        <w:jc w:val="both"/>
      </w:pPr>
      <w:r>
        <w:rPr>
          <w:rFonts w:ascii="Calibri" w:cs="Calibri" w:eastAsia="Calibri" w:hAnsi="Calibri"/>
          <w:sz w:val="22"/>
          <w:szCs w:val="22"/>
        </w:rPr>
        <w:t xml:space="preserve">### Key Operating Assumptions</w:t>
      </w:r>
    </w:p>
    <w:p>
      <w:pPr>
        <w:spacing w:after="200" w:line="276"/>
        <w:jc w:val="both"/>
      </w:pPr>
      <w:r>
        <w:rPr>
          <w:rFonts w:ascii="Calibri" w:cs="Calibri" w:eastAsia="Calibri" w:hAnsi="Calibri"/>
          <w:sz w:val="22"/>
          <w:szCs w:val="22"/>
        </w:rPr>
        <w:t xml:space="preserve">Revenue growth assumptions incorporated management's expectations regarding market expansion, customer acquisition, pricing strategies, and competitive positioning. The projections reflected the Subject Company's current market presence and anticipated growth trajectory based on identified business drivers and market opportunities.</w:t>
      </w:r>
    </w:p>
    <w:p>
      <w:pPr>
        <w:spacing w:after="200" w:line="276"/>
        <w:jc w:val="both"/>
      </w:pPr>
      <w:r>
        <w:rPr>
          <w:rFonts w:ascii="Calibri" w:cs="Calibri" w:eastAsia="Calibri" w:hAnsi="Calibri"/>
          <w:sz w:val="22"/>
          <w:szCs w:val="22"/>
        </w:rPr>
        <w:t xml:space="preserve">Operating margin assumptions considered the Subject Company's historical performance, anticipated operating leverage, and expected changes in cost structure. The analysis incorporated management's expectations regarding both variable and fixed cost components, including anticipated efficiencies and cost management initiatives.</w:t>
      </w:r>
    </w:p>
    <w:p>
      <w:pPr>
        <w:spacing w:after="200" w:line="276"/>
        <w:jc w:val="both"/>
      </w:pPr>
      <w:r>
        <w:rPr>
          <w:rFonts w:ascii="Calibri" w:cs="Calibri" w:eastAsia="Calibri" w:hAnsi="Calibri"/>
          <w:sz w:val="22"/>
          <w:szCs w:val="22"/>
        </w:rPr>
        <w:t xml:space="preserve">Capital expenditure requirements were evaluated based on the Subject Company's asset base, maintenance needs, and growth-related investments. Working capital assumptions reflected the seasonal patterns and growth-related requirements consistent with the Subject Company's business model and industry characteristics.</w:t>
      </w:r>
    </w:p>
    <w:p>
      <w:pPr>
        <w:spacing w:after="200" w:line="276"/>
        <w:jc w:val="both"/>
      </w:pPr>
      <w:r>
        <w:rPr>
          <w:rFonts w:ascii="Calibri" w:cs="Calibri" w:eastAsia="Calibri" w:hAnsi="Calibri"/>
          <w:sz w:val="22"/>
          <w:szCs w:val="22"/>
        </w:rPr>
        <w:t xml:space="preserve">### Discount Rate Determination</w:t>
      </w:r>
    </w:p>
    <w:p>
      <w:pPr>
        <w:spacing w:after="200" w:line="276"/>
        <w:jc w:val="both"/>
      </w:pPr>
      <w:r>
        <w:rPr>
          <w:rFonts w:ascii="Calibri" w:cs="Calibri" w:eastAsia="Calibri" w:hAnsi="Calibri"/>
          <w:sz w:val="22"/>
          <w:szCs w:val="22"/>
        </w:rPr>
        <w:t xml:space="preserve">The discount rate was derived using the weighted average cost of capital ("WACC") methodology, incorporating both the cost of equity and cost of debt components. The cost of equity was estimated using the Capital Asset Pricing Model ("CAPM"), which considered the risk-free rate, market risk premium, and beta coefficient reflecting the systematic risk associated with the Subject Company's business and industry.</w:t>
      </w:r>
    </w:p>
    <w:p>
      <w:pPr>
        <w:spacing w:after="200" w:line="276"/>
        <w:jc w:val="both"/>
      </w:pPr>
      <w:r>
        <w:rPr>
          <w:rFonts w:ascii="Calibri" w:cs="Calibri" w:eastAsia="Calibri" w:hAnsi="Calibri"/>
          <w:sz w:val="22"/>
          <w:szCs w:val="22"/>
        </w:rPr>
        <w:t xml:space="preserve">### Terminal Value and Sensitivity Analysis</w:t>
      </w:r>
    </w:p>
    <w:p>
      <w:pPr>
        <w:spacing w:after="200" w:line="276"/>
        <w:jc w:val="both"/>
      </w:pPr>
      <w:r>
        <w:rPr>
          <w:rFonts w:ascii="Calibri" w:cs="Calibri" w:eastAsia="Calibri" w:hAnsi="Calibri"/>
          <w:sz w:val="22"/>
          <w:szCs w:val="22"/>
        </w:rPr>
        <w:t xml:space="preserve">Terminal value was calculated using established methodologies appropriate for the Subject Company's expected long-term prospects. The analysis included sensitivity testing of key variables to assess the impact of assumption changes on the indicated value conclusion, providing additional support for the valuation outcome under this approach.</w:t>
      </w:r>
    </w:p>
    <w:p>
      <w:pPr>
        <w:spacing w:before="400" w:after="400" w:line="276"/>
        <w:jc w:val="center"/>
      </w:pPr>
      <w:r>
        <w:rPr>
          <w:rFonts w:ascii="Calibri" w:cs="Calibri" w:eastAsia="Calibri" w:hAnsi="Calibri"/>
          <w:sz w:val="22"/>
          <w:szCs w:val="22"/>
        </w:rPr>
        <w:t xml:space="preserve">────────────────────────────────────────────────────────────</w:t>
      </w:r>
    </w:p>
    <w:p>
      <w:pPr>
        <w:pStyle w:val="Heading1"/>
      </w:pPr>
      <w:r>
        <w:t xml:space="preserve">VALUATION ANALYSIS - ASSET APPROACH</w:t>
      </w:r>
    </w:p>
    <w:p>
      <w:pPr>
        <w:spacing w:after="200" w:line="276"/>
        <w:jc w:val="both"/>
      </w:pPr>
      <w:r>
        <w:rPr>
          <w:rFonts w:ascii="Calibri" w:cs="Calibri" w:eastAsia="Calibri" w:hAnsi="Calibri"/>
          <w:sz w:val="22"/>
          <w:szCs w:val="22"/>
        </w:rPr>
        <w:t xml:space="preserve">## Asset Approach</w:t>
      </w:r>
    </w:p>
    <w:p>
      <w:pPr>
        <w:spacing w:after="200" w:line="276"/>
        <w:jc w:val="both"/>
      </w:pPr>
      <w:r>
        <w:rPr>
          <w:rFonts w:ascii="Calibri" w:cs="Calibri" w:eastAsia="Calibri" w:hAnsi="Calibri"/>
          <w:sz w:val="22"/>
          <w:szCs w:val="22"/>
        </w:rPr>
        <w:t xml:space="preserve">The asset approach estimates the fair value of a business by determining the fair value of its underlying assets and liabilities. This approach is based on the principle that a prudent investor would pay no more for a business interest than the cost to obtain assets of equivalent economic utility. The asset approach encompasses several methodologies, including the adjusted net book value method and the liquidation value method.</w:t>
      </w:r>
    </w:p>
    <w:p>
      <w:pPr>
        <w:spacing w:after="200" w:line="276"/>
        <w:jc w:val="both"/>
      </w:pPr>
      <w:r>
        <w:rPr>
          <w:rFonts w:ascii="Calibri" w:cs="Calibri" w:eastAsia="Calibri" w:hAnsi="Calibri"/>
          <w:sz w:val="22"/>
          <w:szCs w:val="22"/>
        </w:rPr>
        <w:t xml:space="preserve">Under the adjusted net book value method, the Subject Company's assets and liabilities are adjusted from their recorded book values to their respective fair values as of the valuation date. This process involves analyzing each significant asset and liability category to determine appropriate fair value adjustments. Tangible assets such as property, plant, and equipment are typically adjusted based on current market values or replacement costs, while intangible assets are evaluated for their economic contribution to the enterprise.</w:t>
      </w:r>
    </w:p>
    <w:p>
      <w:pPr>
        <w:spacing w:after="200" w:line="276"/>
        <w:jc w:val="both"/>
      </w:pPr>
      <w:r>
        <w:rPr>
          <w:rFonts w:ascii="Calibri" w:cs="Calibri" w:eastAsia="Calibri" w:hAnsi="Calibri"/>
          <w:sz w:val="22"/>
          <w:szCs w:val="22"/>
        </w:rPr>
        <w:t xml:space="preserve">The asset approach is generally most appropriate for asset-intensive businesses, holding companies, or enterprises in liquidation scenarios. For operating companies with significant intangible value, goodwill, or growth prospects, the asset approach may not fully capture the economic benefits derived from the assembled workforce, customer relationships, proprietary processes, or other intangible elements that contribute to the enterprise's earning capacity.</w:t>
      </w:r>
    </w:p>
    <w:p>
      <w:pPr>
        <w:spacing w:after="200" w:line="276"/>
        <w:jc w:val="both"/>
      </w:pPr>
      <w:r>
        <w:rPr>
          <w:rFonts w:ascii="Calibri" w:cs="Calibri" w:eastAsia="Calibri" w:hAnsi="Calibri"/>
          <w:sz w:val="22"/>
          <w:szCs w:val="22"/>
        </w:rPr>
        <w:t xml:space="preserve">In the context of the Subject Company's 409A valuation, the asset approach was considered but determined to be less indicative of fair value than the income and market approaches. The Subject Company operates as a going concern with significant intangible assets and growth potential that are not adequately reflected in its tangible asset base. The company's value is primarily derived from its operational capabilities, intellectual property, and future cash flow generation potential rather than its underlying net asset position.</w:t>
      </w:r>
    </w:p>
    <w:p>
      <w:pPr>
        <w:spacing w:after="200" w:line="276"/>
        <w:jc w:val="both"/>
      </w:pPr>
      <w:r>
        <w:rPr>
          <w:rFonts w:ascii="Calibri" w:cs="Calibri" w:eastAsia="Calibri" w:hAnsi="Calibri"/>
          <w:sz w:val="22"/>
          <w:szCs w:val="22"/>
        </w:rPr>
        <w:t xml:space="preserve">Accordingly, the asset approach was not relied upon as a primary valuation methodology for determining the fair value of the Subject Company's common stock for 409A purposes, as it does not appropriately capture the economic substance of the enterprise as an operating business entity.</w:t>
      </w:r>
    </w:p>
    <w:p>
      <w:pPr>
        <w:spacing w:before="400" w:after="400" w:line="276"/>
        <w:jc w:val="center"/>
      </w:pPr>
      <w:r>
        <w:rPr>
          <w:rFonts w:ascii="Calibri" w:cs="Calibri" w:eastAsia="Calibri" w:hAnsi="Calibri"/>
          <w:sz w:val="22"/>
          <w:szCs w:val="22"/>
        </w:rPr>
        <w:t xml:space="preserve">────────────────────────────────────────────────────────────</w:t>
      </w:r>
    </w:p>
    <w:p>
      <w:pPr>
        <w:pStyle w:val="Heading1"/>
      </w:pPr>
      <w:r>
        <w:t xml:space="preserve">CONCLUSION &amp; WEIGHTING RATIONALE</w:t>
      </w:r>
    </w:p>
    <w:p>
      <w:pPr>
        <w:spacing w:after="200" w:line="276"/>
        <w:jc w:val="both"/>
      </w:pPr>
      <w:r>
        <w:rPr>
          <w:rFonts w:ascii="Calibri" w:cs="Calibri" w:eastAsia="Calibri" w:hAnsi="Calibri"/>
          <w:b/>
          <w:bCs/>
          <w:sz w:val="22"/>
          <w:szCs w:val="22"/>
        </w:rPr>
        <w:t xml:space="preserve">Valuation Summary:</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tblGrid>
      <w:tr>
        <w:trPr>
          <w:tblHeader/>
        </w:trPr>
        <w:tc>
          <w:tcPr>
            <w:tcW w:type="dxa" w:w="3000"/>
          </w:tcPr>
          <w:p>
            <w:pPr>
              <w:jc w:val="center"/>
            </w:pPr>
            <w:r>
              <w:rPr>
                <w:rFonts w:ascii="Calibri" w:cs="Calibri" w:eastAsia="Calibri" w:hAnsi="Calibri"/>
                <w:b/>
                <w:bCs/>
                <w:sz w:val="22"/>
                <w:szCs w:val="22"/>
              </w:rPr>
              <w:t xml:space="preserve">Approach</w:t>
            </w:r>
          </w:p>
        </w:tc>
        <w:tc>
          <w:tcPr>
            <w:tcW w:type="dxa" w:w="3000"/>
          </w:tcPr>
          <w:p>
            <w:pPr>
              <w:jc w:val="center"/>
            </w:pPr>
            <w:r>
              <w:rPr>
                <w:rFonts w:ascii="Calibri" w:cs="Calibri" w:eastAsia="Calibri" w:hAnsi="Calibri"/>
                <w:b/>
                <w:bCs/>
                <w:sz w:val="22"/>
                <w:szCs w:val="22"/>
              </w:rPr>
              <w:t xml:space="preserve">Indicated Value</w:t>
            </w:r>
          </w:p>
        </w:tc>
        <w:tc>
          <w:tcPr>
            <w:tcW w:type="dxa" w:w="3000"/>
          </w:tcPr>
          <w:p>
            <w:pPr>
              <w:jc w:val="center"/>
            </w:pPr>
            <w:r>
              <w:rPr>
                <w:rFonts w:ascii="Calibri" w:cs="Calibri" w:eastAsia="Calibri" w:hAnsi="Calibri"/>
                <w:b/>
                <w:bCs/>
                <w:sz w:val="22"/>
                <w:szCs w:val="22"/>
              </w:rPr>
              <w:t xml:space="preserve">Weight</w:t>
            </w:r>
          </w:p>
        </w:tc>
      </w:tr>
      <w:tr>
        <w:tc>
          <w:tcPr>
            <w:tcW w:type="dxa" w:w="3000"/>
          </w:tcPr>
          <w:p>
            <w:pPr>
              <w:jc w:val="left"/>
            </w:pPr>
            <w:r>
              <w:rPr>
                <w:rFonts w:ascii="Calibri" w:cs="Calibri" w:eastAsia="Calibri" w:hAnsi="Calibri"/>
                <w:sz w:val="22"/>
                <w:szCs w:val="22"/>
              </w:rPr>
              <w:t xml:space="preserve">Market Approach</w:t>
            </w:r>
          </w:p>
        </w:tc>
        <w:tc>
          <w:tcPr>
            <w:tcW w:type="dxa" w:w="3000"/>
          </w:tcPr>
          <w:p>
            <w:pPr>
              <w:jc w:val="right"/>
            </w:pPr>
            <w:r>
              <w:rPr>
                <w:rFonts w:ascii="Calibri" w:cs="Calibri" w:eastAsia="Calibri" w:hAnsi="Calibri"/>
                <w:sz w:val="22"/>
                <w:szCs w:val="22"/>
              </w:rPr>
              <w:t xml:space="preserve">[Value from model]</w:t>
            </w:r>
          </w:p>
        </w:tc>
        <w:tc>
          <w:tcPr>
            <w:tcW w:type="dxa" w:w="3000"/>
          </w:tcPr>
          <w:p>
            <w:pPr>
              <w:jc w:val="right"/>
            </w:pPr>
            <w:r>
              <w:rPr>
                <w:rFonts w:ascii="Calibri" w:cs="Calibri" w:eastAsia="Calibri" w:hAnsi="Calibri"/>
                <w:sz w:val="22"/>
                <w:szCs w:val="22"/>
              </w:rPr>
              <w:t xml:space="preserve">[Weight from model]</w:t>
            </w:r>
          </w:p>
        </w:tc>
      </w:tr>
      <w:tr>
        <w:tc>
          <w:tcPr>
            <w:tcW w:type="dxa" w:w="3000"/>
          </w:tcPr>
          <w:p>
            <w:pPr>
              <w:jc w:val="left"/>
            </w:pPr>
            <w:r>
              <w:rPr>
                <w:rFonts w:ascii="Calibri" w:cs="Calibri" w:eastAsia="Calibri" w:hAnsi="Calibri"/>
                <w:sz w:val="22"/>
                <w:szCs w:val="22"/>
              </w:rPr>
              <w:t xml:space="preserve">OPM Backsolve</w:t>
            </w:r>
          </w:p>
        </w:tc>
        <w:tc>
          <w:tcPr>
            <w:tcW w:type="dxa" w:w="3000"/>
          </w:tcPr>
          <w:p>
            <w:pPr>
              <w:jc w:val="right"/>
            </w:pPr>
            <w:r>
              <w:rPr>
                <w:rFonts w:ascii="Calibri" w:cs="Calibri" w:eastAsia="Calibri" w:hAnsi="Calibri"/>
                <w:sz w:val="22"/>
                <w:szCs w:val="22"/>
              </w:rPr>
              <w:t xml:space="preserve">[Value from model]</w:t>
            </w:r>
          </w:p>
        </w:tc>
        <w:tc>
          <w:tcPr>
            <w:tcW w:type="dxa" w:w="3000"/>
          </w:tcPr>
          <w:p>
            <w:pPr>
              <w:jc w:val="right"/>
            </w:pPr>
            <w:r>
              <w:rPr>
                <w:rFonts w:ascii="Calibri" w:cs="Calibri" w:eastAsia="Calibri" w:hAnsi="Calibri"/>
                <w:sz w:val="22"/>
                <w:szCs w:val="22"/>
              </w:rPr>
              <w:t xml:space="preserve">[Weight from model]</w:t>
            </w:r>
          </w:p>
        </w:tc>
      </w:tr>
      <w:tr>
        <w:tc>
          <w:tcPr>
            <w:tcW w:type="dxa" w:w="3000"/>
          </w:tcPr>
          <w:p>
            <w:pPr>
              <w:jc w:val="left"/>
            </w:pPr>
            <w:r>
              <w:rPr>
                <w:rFonts w:ascii="Calibri" w:cs="Calibri" w:eastAsia="Calibri" w:hAnsi="Calibri"/>
                <w:sz w:val="22"/>
                <w:szCs w:val="22"/>
              </w:rPr>
              <w:t xml:space="preserve">Guideline Transaction</w:t>
            </w:r>
          </w:p>
        </w:tc>
        <w:tc>
          <w:tcPr>
            <w:tcW w:type="dxa" w:w="3000"/>
          </w:tcPr>
          <w:p>
            <w:pPr>
              <w:jc w:val="right"/>
            </w:pPr>
            <w:r>
              <w:rPr>
                <w:rFonts w:ascii="Calibri" w:cs="Calibri" w:eastAsia="Calibri" w:hAnsi="Calibri"/>
                <w:sz w:val="22"/>
                <w:szCs w:val="22"/>
              </w:rPr>
              <w:t xml:space="preserve">[Value from model]</w:t>
            </w:r>
          </w:p>
        </w:tc>
        <w:tc>
          <w:tcPr>
            <w:tcW w:type="dxa" w:w="3000"/>
          </w:tcPr>
          <w:p>
            <w:pPr>
              <w:jc w:val="right"/>
            </w:pPr>
            <w:r>
              <w:rPr>
                <w:rFonts w:ascii="Calibri" w:cs="Calibri" w:eastAsia="Calibri" w:hAnsi="Calibri"/>
                <w:sz w:val="22"/>
                <w:szCs w:val="22"/>
              </w:rPr>
              <w:t xml:space="preserve">[Weight from model]</w:t>
            </w:r>
          </w:p>
        </w:tc>
      </w:tr>
      <w:tr>
        <w:tc>
          <w:tcPr>
            <w:tcW w:type="dxa" w:w="3000"/>
          </w:tcPr>
          <w:p>
            <w:pPr>
              <w:jc w:val="left"/>
            </w:pPr>
            <w:r>
              <w:rPr>
                <w:rFonts w:ascii="Calibri" w:cs="Calibri" w:eastAsia="Calibri" w:hAnsi="Calibri"/>
                <w:sz w:val="22"/>
                <w:szCs w:val="22"/>
              </w:rPr>
              <w:t xml:space="preserve">Income Approach (DCF)</w:t>
            </w:r>
          </w:p>
        </w:tc>
        <w:tc>
          <w:tcPr>
            <w:tcW w:type="dxa" w:w="3000"/>
          </w:tcPr>
          <w:p>
            <w:pPr>
              <w:jc w:val="right"/>
            </w:pPr>
            <w:r>
              <w:rPr>
                <w:rFonts w:ascii="Calibri" w:cs="Calibri" w:eastAsia="Calibri" w:hAnsi="Calibri"/>
                <w:sz w:val="22"/>
                <w:szCs w:val="22"/>
              </w:rPr>
              <w:t xml:space="preserve">[Value from model]</w:t>
            </w:r>
          </w:p>
        </w:tc>
        <w:tc>
          <w:tcPr>
            <w:tcW w:type="dxa" w:w="3000"/>
          </w:tcPr>
          <w:p>
            <w:pPr>
              <w:jc w:val="right"/>
            </w:pPr>
            <w:r>
              <w:rPr>
                <w:rFonts w:ascii="Calibri" w:cs="Calibri" w:eastAsia="Calibri" w:hAnsi="Calibri"/>
                <w:sz w:val="22"/>
                <w:szCs w:val="22"/>
              </w:rPr>
              <w:t xml:space="preserve">[Weight from model]</w:t>
            </w:r>
          </w:p>
        </w:tc>
      </w:tr>
      <w:tr>
        <w:tc>
          <w:tcPr>
            <w:tcW w:type="dxa" w:w="3000"/>
          </w:tcPr>
          <w:p>
            <w:pPr>
              <w:jc w:val="left"/>
            </w:pPr>
            <w:r>
              <w:rPr>
                <w:rFonts w:ascii="Calibri" w:cs="Calibri" w:eastAsia="Calibri" w:hAnsi="Calibri"/>
                <w:sz w:val="22"/>
                <w:szCs w:val="22"/>
              </w:rPr>
              <w:t xml:space="preserve">Asset Approach</w:t>
            </w:r>
          </w:p>
        </w:tc>
        <w:tc>
          <w:tcPr>
            <w:tcW w:type="dxa" w:w="3000"/>
          </w:tcPr>
          <w:p>
            <w:pPr>
              <w:jc w:val="right"/>
            </w:pPr>
            <w:r>
              <w:rPr>
                <w:rFonts w:ascii="Calibri" w:cs="Calibri" w:eastAsia="Calibri" w:hAnsi="Calibri"/>
                <w:sz w:val="22"/>
                <w:szCs w:val="22"/>
              </w:rPr>
              <w:t xml:space="preserve">[Value from model]</w:t>
            </w:r>
          </w:p>
        </w:tc>
        <w:tc>
          <w:tcPr>
            <w:tcW w:type="dxa" w:w="3000"/>
          </w:tcPr>
          <w:p>
            <w:pPr>
              <w:jc w:val="right"/>
            </w:pPr>
            <w:r>
              <w:rPr>
                <w:rFonts w:ascii="Calibri" w:cs="Calibri" w:eastAsia="Calibri" w:hAnsi="Calibri"/>
                <w:sz w:val="22"/>
                <w:szCs w:val="22"/>
              </w:rPr>
              <w:t xml:space="preserve">[Weight from model]</w:t>
            </w:r>
          </w:p>
        </w:tc>
      </w:tr>
    </w:tbl>
    <w:p>
      <w:pPr>
        <w:spacing w:before="200" w:after="200" w:line="276"/>
        <w:jc w:val="both"/>
      </w:pPr>
      <w:r>
        <w:rPr>
          <w:rFonts w:ascii="Calibri" w:cs="Calibri" w:eastAsia="Calibri" w:hAnsi="Calibri"/>
          <w:sz w:val="22"/>
          <w:szCs w:val="22"/>
        </w:rPr>
        <w:t xml:space="preserve"/>
      </w:r>
    </w:p>
    <w:p>
      <w:pPr>
        <w:spacing w:after="200" w:line="276"/>
        <w:jc w:val="both"/>
      </w:pPr>
      <w:r>
        <w:rPr>
          <w:rFonts w:ascii="Calibri" w:cs="Calibri" w:eastAsia="Calibri" w:hAnsi="Calibri"/>
          <w:sz w:val="22"/>
          <w:szCs w:val="22"/>
        </w:rPr>
        <w:t xml:space="preserve">## Conclusion and Reconciliation of Value</w:t>
      </w:r>
    </w:p>
    <w:p>
      <w:pPr>
        <w:spacing w:after="200" w:line="276"/>
        <w:jc w:val="both"/>
      </w:pPr>
      <w:r>
        <w:rPr>
          <w:rFonts w:ascii="Calibri" w:cs="Calibri" w:eastAsia="Calibri" w:hAnsi="Calibri"/>
          <w:sz w:val="22"/>
          <w:szCs w:val="22"/>
        </w:rPr>
        <w:t xml:space="preserve">The valuation team employed multiple approaches to estimate the fair value of the Company's common stock, each providing unique insights into the Company's value based on different theoretical frameworks and market perspectives.</w:t>
      </w:r>
    </w:p>
    <w:p>
      <w:pPr>
        <w:spacing w:after="200" w:line="276"/>
        <w:jc w:val="both"/>
      </w:pPr>
      <w:r>
        <w:rPr>
          <w:rFonts w:ascii="Calibri" w:cs="Calibri" w:eastAsia="Calibri" w:hAnsi="Calibri"/>
          <w:sz w:val="22"/>
          <w:szCs w:val="22"/>
        </w:rPr>
        <w:t xml:space="preserve">The **Market Approach** utilizing publicly traded guideline companies was considered to provide relevant valuation benchmarks based on current market conditions and investor sentiment toward companies with similar business models and financial characteristics. However, the weight assigned to this approach reflected the inherent differences between the Company and the selected guideline companies, including variations in size, growth stage, profitability, and market positioning.</w:t>
      </w:r>
    </w:p>
    <w:p>
      <w:pPr>
        <w:spacing w:after="200" w:line="276"/>
        <w:jc w:val="both"/>
      </w:pPr>
      <w:r>
        <w:rPr>
          <w:rFonts w:ascii="Calibri" w:cs="Calibri" w:eastAsia="Calibri" w:hAnsi="Calibri"/>
          <w:sz w:val="22"/>
          <w:szCs w:val="22"/>
        </w:rPr>
        <w:t xml:space="preserve">The **OPM Backsolve** approach was evaluated based on the Company's most recent financing transaction. The reliability and weight accorded to this methodology depended primarily on the recency of the underlying transaction, the arm's-length nature of the deal terms, and whether the transaction size and investor composition provided a reliable indicator of current fair value. Transactions conducted more than twelve months prior to the valuation date typically received reduced weighting due to potential changes in company performance and market conditions.</w:t>
      </w:r>
    </w:p>
    <w:p>
      <w:pPr>
        <w:spacing w:after="200" w:line="276"/>
        <w:jc w:val="both"/>
      </w:pPr>
      <w:r>
        <w:rPr>
          <w:rFonts w:ascii="Calibri" w:cs="Calibri" w:eastAsia="Calibri" w:hAnsi="Calibri"/>
          <w:sz w:val="22"/>
          <w:szCs w:val="22"/>
        </w:rPr>
        <w:t xml:space="preserve">The **Guideline Transaction Method** was considered where sufficient data existed regarding transactions involving comparable companies. The weight assigned reflected the availability of truly comparable transactions, the recency of such transactions, and the reliability of the transaction data obtained.</w:t>
      </w:r>
    </w:p>
    <w:p>
      <w:pPr>
        <w:spacing w:after="200" w:line="276"/>
        <w:jc w:val="both"/>
      </w:pPr>
      <w:r>
        <w:rPr>
          <w:rFonts w:ascii="Calibri" w:cs="Calibri" w:eastAsia="Calibri" w:hAnsi="Calibri"/>
          <w:sz w:val="22"/>
          <w:szCs w:val="22"/>
        </w:rPr>
        <w:t xml:space="preserve">The **Income Approach** using discounted cash flow analysis was evaluated based on the Company's stage of development and the reliability of its financial projections. For companies with established revenue streams and predictable cash flows, this approach typically received significant weight. However, for pre-revenue or early-stage companies with limited operating history, the weight was reduced due to the inherent uncertainty in long-term financial forecasts.</w:t>
      </w:r>
    </w:p>
    <w:p>
      <w:pPr>
        <w:spacing w:after="200" w:line="276"/>
        <w:jc w:val="both"/>
      </w:pPr>
      <w:r>
        <w:rPr>
          <w:rFonts w:ascii="Calibri" w:cs="Calibri" w:eastAsia="Calibri" w:hAnsi="Calibri"/>
          <w:sz w:val="22"/>
          <w:szCs w:val="22"/>
        </w:rPr>
        <w:t xml:space="preserve">The **Asset Approach** was considered primarily as a floor value, receiving weight based on the Company's asset composition and the relevance of net asset value to the Company's value proposition and business model.</w:t>
      </w:r>
    </w:p>
    <w:p>
      <w:pPr>
        <w:spacing w:after="200" w:line="276"/>
        <w:jc w:val="both"/>
      </w:pPr>
      <w:r>
        <w:rPr>
          <w:rFonts w:ascii="Calibri" w:cs="Calibri" w:eastAsia="Calibri" w:hAnsi="Calibri"/>
          <w:sz w:val="22"/>
          <w:szCs w:val="22"/>
        </w:rPr>
        <w:t xml:space="preserve">After careful consideration of each approach's reliability, relevance, and applicability to the Company's specific circumstances, the valuation team concluded that the fair value of the Company's common stock as of the valuation date was $[X.XX] per share. This conclusion reflects the weighted average of the various approaches, with primary reliance placed on the most reliable and current valuation indicators available.</w:t>
      </w:r>
    </w:p>
    <w:p>
      <w:pPr>
        <w:spacing w:before="400" w:after="400" w:line="276"/>
        <w:jc w:val="center"/>
      </w:pPr>
      <w:r>
        <w:rPr>
          <w:rFonts w:ascii="Calibri" w:cs="Calibri" w:eastAsia="Calibri" w:hAnsi="Calibri"/>
          <w:sz w:val="22"/>
          <w:szCs w:val="22"/>
        </w:rPr>
        <w:t xml:space="preserve">────────────────────────────────────────────────────────────</w:t>
      </w:r>
    </w:p>
    <w:p>
      <w:pPr>
        <w:pStyle w:val="Heading1"/>
      </w:pPr>
      <w:r>
        <w:t xml:space="preserve">FLAGS &amp; REVIEW NOTES</w:t>
      </w:r>
    </w:p>
    <w:p>
      <w:pPr>
        <w:spacing w:after="200" w:line="276"/>
        <w:jc w:val="both"/>
      </w:pPr>
      <w:r>
        <w:rPr>
          <w:rFonts w:ascii="Calibri" w:cs="Calibri" w:eastAsia="Calibri" w:hAnsi="Calibri"/>
          <w:b/>
          <w:bCs/>
          <w:sz w:val="22"/>
          <w:szCs w:val="22"/>
        </w:rPr>
        <w:t xml:space="preserve">The following items were flagged for review:</w:t>
      </w:r>
    </w:p>
    <w:p>
      <w:pPr>
        <w:spacing w:after="100" w:line="276"/>
        <w:ind w:left="360"/>
        <w:jc w:val="both"/>
      </w:pPr>
      <w:r>
        <w:rPr>
          <w:rFonts w:ascii="Calibri" w:cs="Calibri" w:eastAsia="Calibri" w:hAnsi="Calibri"/>
          <w:sz w:val="22"/>
          <w:szCs w:val="22"/>
        </w:rPr>
        <w:t xml:space="preserve">⚠️ economicOutlook: No economic outlook found for Q2 2025</w:t>
      </w:r>
    </w:p>
    <w:p>
      <w:pPr>
        <w:spacing w:after="100" w:line="276"/>
        <w:ind w:left="360"/>
        <w:jc w:val="both"/>
      </w:pPr>
      <w:r>
        <w:rPr>
          <w:rFonts w:ascii="Calibri" w:cs="Calibri" w:eastAsia="Calibri" w:hAnsi="Calibri"/>
          <w:sz w:val="22"/>
          <w:szCs w:val="22"/>
        </w:rPr>
        <w:t xml:space="preserve">⚠️ Economic Outlook: Quarterly document not found</w:t>
      </w:r>
    </w:p>
    <w:sectPr>
      <w:footerReference w:type="default" r:id="rId6"/>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5563"/>
        <w:sz w:val="18"/>
        <w:szCs w:val="18"/>
      </w:rPr>
      <w:t xml:space="preserve">CONFIDENTIAL DRAFT</w:t>
    </w:r>
    <w:r>
      <w:rPr>
        <w:rFonts w:ascii="Calibri" w:cs="Calibri" w:eastAsia="Calibri" w:hAnsi="Calibri"/>
        <w:color w:val="4B5563"/>
        <w:sz w:val="18"/>
        <w:szCs w:val="18"/>
      </w:rPr>
      <w:t xml:space="preserve">  |  Page </w:t>
    </w:r>
    <w:r>
      <w:rPr>
        <w:rFonts w:ascii="Calibri" w:cs="Calibri" w:eastAsia="Calibri" w:hAnsi="Calibri"/>
        <w:color w:val="4B5563"/>
        <w:sz w:val="18"/>
        <w:szCs w:val="18"/>
      </w:rPr>
      <w:fldChar w:fldCharType="begin"/>
      <w:instrText xml:space="preserve">PAGE</w:instrText>
      <w:fldChar w:fldCharType="separate"/>
      <w:fldChar w:fldCharType="end"/>
    </w:r>
    <w:r>
      <w:rPr>
        <w:rFonts w:ascii="Calibri" w:cs="Calibri" w:eastAsia="Calibri" w:hAnsi="Calibri"/>
        <w:color w:val="4B5563"/>
        <w:sz w:val="18"/>
        <w:szCs w:val="18"/>
      </w:rPr>
      <w:t xml:space="preserve"> of </w:t>
    </w:r>
    <w:r>
      <w:rPr>
        <w:rFonts w:ascii="Calibri" w:cs="Calibri" w:eastAsia="Calibri" w:hAnsi="Calibri"/>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40" w:after="120"/>
    </w:pPr>
    <w:rPr>
      <w:rFonts w:ascii="Calibri" w:cs="Calibri" w:eastAsia="Calibri" w:hAnsi="Calibri"/>
      <w:b/>
      <w:bCs/>
      <w:color w:val="1F2937"/>
      <w:sz w:val="28"/>
      <w:szCs w:val="28"/>
    </w:rPr>
  </w:style>
  <w:style w:type="paragraph" w:styleId="Heading2">
    <w:name w:val="Heading 2"/>
    <w:basedOn w:val="Normal"/>
    <w:next w:val="Normal"/>
    <w:qFormat/>
    <w:pPr>
      <w:spacing w:before="240" w:after="120"/>
    </w:pPr>
    <w:rPr>
      <w:rFonts w:ascii="Calibri" w:cs="Calibri" w:eastAsia="Calibri" w:hAnsi="Calibri"/>
      <w:b/>
      <w:bCs/>
      <w:color w:val="1F2937"/>
      <w:sz w:val="24"/>
      <w:szCs w:val="24"/>
    </w:rPr>
  </w:style>
  <w:style w:type="paragraph" w:styleId="Heading3">
    <w:name w:val="Heading 3"/>
    <w:basedOn w:val="Normal"/>
    <w:next w:val="Normal"/>
    <w:qFormat/>
    <w:pPr>
      <w:spacing w:before="160" w:after="80"/>
    </w:pPr>
    <w:rPr>
      <w:rFonts w:ascii="Calibri" w:cs="Calibri" w:eastAsia="Calibri" w:hAnsi="Calibri"/>
      <w:b/>
      <w:bCs/>
      <w:color w:val="4B556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2025-12-24T18:35:53.900Z</dcterms:created>
  <dcterms:modified xsi:type="dcterms:W3CDTF">2025-12-24T18:35:53.900Z</dcterms:modified>
</cp:coreProperties>
</file>

<file path=docProps/custom.xml><?xml version="1.0" encoding="utf-8"?>
<Properties xmlns="http://schemas.openxmlformats.org/officeDocument/2006/custom-properties" xmlns:vt="http://schemas.openxmlformats.org/officeDocument/2006/docPropsVTypes"/>
</file>