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200" w:line="276"/>
        <w:jc w:val="both"/>
      </w:pPr>
      <w:r>
        <w:rPr>
          <w:rFonts w:ascii="Calibri" w:cs="Calibri" w:eastAsia="Calibri" w:hAnsi="Calibri"/>
          <w:sz w:val="22"/>
          <w:szCs w:val="22"/>
        </w:rPr>
        <w:t xml:space="preserve"/>
      </w:r>
    </w:p>
    <w:p>
      <w:pPr>
        <w:spacing w:after="400" w:line="276"/>
        <w:jc w:val="center"/>
      </w:pPr>
      <w:r>
        <w:rPr>
          <w:rFonts w:ascii="Calibri" w:cs="Calibri" w:eastAsia="Calibri" w:hAnsi="Calibri"/>
          <w:b/>
          <w:bCs/>
          <w:sz w:val="22"/>
          <w:szCs w:val="22"/>
        </w:rPr>
        <w:t xml:space="preserve">Business Valuation Report</w:t>
      </w:r>
    </w:p>
    <w:p>
      <w:pPr>
        <w:spacing w:after="400" w:line="276"/>
        <w:jc w:val="center"/>
      </w:pPr>
      <w:r>
        <w:rPr>
          <w:rFonts w:ascii="Calibri" w:cs="Calibri" w:eastAsia="Calibri" w:hAnsi="Calibri"/>
          <w:b/>
          <w:bCs/>
          <w:sz w:val="22"/>
          <w:szCs w:val="22"/>
        </w:rPr>
        <w:t xml:space="preserve">WrestleNow, Inc.</w:t>
      </w:r>
    </w:p>
    <w:p>
      <w:pPr>
        <w:spacing w:after="600" w:line="276"/>
        <w:jc w:val="center"/>
      </w:pPr>
      <w:r>
        <w:rPr>
          <w:rFonts w:ascii="Calibri" w:cs="Calibri" w:eastAsia="Calibri" w:hAnsi="Calibri"/>
          <w:i/>
          <w:iCs/>
          <w:sz w:val="22"/>
          <w:szCs w:val="22"/>
        </w:rPr>
        <w:t xml:space="preserve">Fair Market Value Determination</w:t>
      </w:r>
    </w:p>
    <w:p>
      <w:pPr>
        <w:spacing w:after="200" w:line="276"/>
        <w:jc w:val="center"/>
      </w:pPr>
      <w:r>
        <w:rPr>
          <w:rFonts w:ascii="Calibri" w:cs="Calibri" w:eastAsia="Calibri" w:hAnsi="Calibri"/>
          <w:sz w:val="22"/>
          <w:szCs w:val="22"/>
        </w:rPr>
        <w:t xml:space="preserve">As of May 30, 2025</w:t>
      </w:r>
    </w:p>
    <w:p>
      <w:pPr>
        <w:spacing w:before="1000" w:after="200" w:line="276"/>
        <w:jc w:val="center"/>
      </w:pPr>
      <w:r>
        <w:rPr>
          <w:rFonts w:ascii="Calibri" w:cs="Calibri" w:eastAsia="Calibri" w:hAnsi="Calibri"/>
          <w:b/>
          <w:bCs/>
          <w:sz w:val="22"/>
          <w:szCs w:val="22"/>
          <w:highlight w:val="yellow"/>
          <w:highlightCs w:val="yellow"/>
        </w:rPr>
        <w:t xml:space="preserve">CONFIDENTIAL DRAFT</w:t>
      </w:r>
    </w:p>
    <w:p>
      <w:r>
        <w:br w:type="page"/>
      </w:r>
    </w:p>
    <w:p>
      <w:pPr>
        <w:pStyle w:val="Heading1"/>
      </w:pPr>
      <w:r>
        <w:t xml:space="preserve">Table of Contents</w:t>
      </w:r>
    </w:p>
    <w:p>
      <w:pPr>
        <w:spacing w:before="100" w:after="100"/>
      </w:pPr>
      <w:r>
        <w:rPr>
          <w:rFonts w:ascii="Calibri" w:cs="Calibri" w:eastAsia="Calibri" w:hAnsi="Calibri"/>
          <w:b/>
          <w:bCs/>
          <w:sz w:val="22"/>
          <w:szCs w:val="22"/>
          <w:highlight w:val="yellow"/>
          <w:highlightCs w:val="yellow"/>
        </w:rPr>
        <w:t xml:space="preserve">[MISSING: Generate Table of Contents in Word]</w:t>
      </w:r>
    </w:p>
    <w:p>
      <w:r>
        <w:br w:type="page"/>
      </w:r>
    </w:p>
    <w:p>
      <w:pPr>
        <w:pStyle w:val="Heading1"/>
      </w:pPr>
      <w:r>
        <w:t xml:space="preserve">Executive Summary</w:t>
      </w:r>
    </w:p>
    <w:p>
      <w:pPr>
        <w:spacing w:after="200" w:line="276"/>
        <w:jc w:val="both"/>
      </w:pPr>
      <w:r>
        <w:rPr>
          <w:rFonts w:ascii="Calibri" w:cs="Calibri" w:eastAsia="Calibri" w:hAnsi="Calibri"/>
          <w:sz w:val="22"/>
          <w:szCs w:val="22"/>
        </w:rPr>
        <w:t xml:space="preserve">This report presents our opinion of the fair market value of the common stock of WrestleNow, Inc. as of May 30, 2025.</w:t>
      </w:r>
    </w:p>
    <w:p>
      <w:pPr>
        <w:spacing w:after="200" w:line="276"/>
        <w:jc w:val="both"/>
      </w:pPr>
      <w:r>
        <w:rPr>
          <w:rFonts w:ascii="Calibri" w:cs="Calibri" w:eastAsia="Calibri" w:hAnsi="Calibri"/>
          <w:sz w:val="22"/>
          <w:szCs w:val="22"/>
        </w:rPr>
        <w:t xml:space="preserve">## Conclusion and Reconciliation of Value
The valuation analysis employed multiple approaches to estimate the fair value of the Company's common stock as of the valuation date. Each methodology provides a different perspective on value, and the weighting applied reflects the reliability, relevance, and applicability of each approach given the Company's current stage of development and market conditions.
**Market Approach Considerations**
The market approach, utilizing publicly traded guideline companies, provides insight into how similar businesses are valued by public market investors. However, this approach requires careful consideration of comparability factors, including differences in size, growth prospects, profitability, and market position between the Company and the selected guideline companies. The reliability of this approach depends on the availability of truly comparable public companies operating in similar market segments.
**OPM Backsolve Analysis**
The Option Pricing Model backsolve approach derives value from recent arm's-length transactions involving the Company's securities. The weight assigned to this approach considers the recency of the underlying transaction data, the arm's-length nature of the transactions, and whether the transaction participants had access to material information about the Company's prospects. As transaction data ages beyond six to twelve months, its relevance may diminish due to changing business conditions and market dynamics.
**Guideline Transaction Method**
The guideline transaction method analyzes recent merger and acquisition transactions involving comparable companies. This approach reflects control premiums and strategic value that acquirers place on similar businesses. The weighting considers the comparability of the selected transactions, their recency, and the availability of sufficient transaction details to support meaningful analysis.
**Income Approach Assessment**
The discounted cash flow analysis under the income approach reflects the Company's specific business fundamentals and growth prospects. For companies with established revenue streams and predictable cash flows, this approach may receive significant weight. However, the reliability diminishes for early-stage companies with limited operating history or uncertain revenue projections, as the analysis becomes increasingly dependent on speculative assumptions about future performance.
**Asset Approach Evaluation**
The asset approach typically receives minimal weight for operating technology companies, as it fails to capture the value of intangible assets, growth prospects, and going-concern value that drive enterprise value in this sector.
**Concluded Fair Value**
Based on the analysis and weighting of the applicable valuation approaches, the concluded fair value of the Company's common stock reflects a balanced consideration of market-based evidence, transaction-derived values, and company-specific fundamentals. The weighting emphasizes approaches with the strongest supporting evidence and greatest relevance to the Company's current circumstances, while appropriately discounting methodologies with significant limitations or reduced applicability.
This conclusion is subject to the assumptions, limiting conditions, and qualifications set forth in this report and reflects the specific facts and circumstances existing as of the valuation date.</w:t>
      </w:r>
    </w:p>
    <w:p>
      <w:r>
        <w:br w:type="page"/>
      </w:r>
    </w:p>
    <w:p>
      <w:pPr>
        <w:pStyle w:val="Heading1"/>
      </w:pPr>
      <w:r>
        <w:t xml:space="preserve">Company Overview</w:t>
      </w:r>
    </w:p>
    <w:p>
      <w:pPr>
        <w:spacing w:after="200"/>
        <w:jc w:val="both"/>
      </w:pPr>
      <w:r>
        <w:rPr>
          <w:rFonts w:ascii="Calibri" w:cs="Calibri" w:eastAsia="Calibri" w:hAnsi="Calibri"/>
          <w:sz w:val="22"/>
          <w:szCs w:val="22"/>
        </w:rPr>
        <w:t xml:space="preserve">Based on the provided URL reference to virtru.com, there appears to be confusion in the company identification. The URL points to Virtru Corporation, a data protection and privacy company founded in 2011, not WrestleNow, Inc. Virtru specializes in email encryption, data loss prevention, and privacy protection solutions for enterprises and government organizations. Without additional clarification or correct company information, I cannot provide accurate details about WrestleNow, Inc. specifically.</w:t>
      </w:r>
      <w:r>
        <w:rPr>
          <w:rFonts w:ascii="Calibri" w:cs="Calibri" w:eastAsia="Calibri" w:hAnsi="Calibri"/>
          <w:i/>
          <w:iCs/>
          <w:sz w:val="18"/>
          <w:szCs w:val="18"/>
          <w:highlight w:val="cyan"/>
          <w:highlightCs w:val="cyan"/>
        </w:rPr>
        <w:t xml:space="preserve"> [REVIEW: Low confidence - review required]</w:t>
      </w:r>
    </w:p>
    <w:p>
      <w:pPr>
        <w:pStyle w:val="Heading3"/>
      </w:pPr>
      <w:r>
        <w:t xml:space="preserve">Capitalization</w:t>
      </w:r>
    </w:p>
    <w:p>
      <w:pPr>
        <w:pBdr>
          <w:top w:val="dashed" w:color="D1D5DB" w:sz="1"/>
          <w:bottom w:val="dashed" w:color="D1D5DB" w:sz="1"/>
          <w:left w:val="dashed" w:color="D1D5DB" w:sz="1"/>
          <w:right w:val="dashed" w:color="D1D5DB" w:sz="1"/>
        </w:pBdr>
        <w:spacing w:before="200" w:after="200"/>
        <w:jc w:val="center"/>
      </w:pPr>
      <w:r>
        <w:rPr>
          <w:rFonts w:ascii="Calibri" w:cs="Calibri" w:eastAsia="Calibri" w:hAnsi="Calibri"/>
          <w:b/>
          <w:bCs/>
          <w:sz w:val="22"/>
          <w:szCs w:val="22"/>
          <w:highlight w:val="cyan"/>
          <w:highlightCs w:val="cyan"/>
        </w:rPr>
        <w:t xml:space="preserve">[INSERT CAP TABLE IMAGE HERE]</w:t>
      </w:r>
    </w:p>
    <w:p>
      <w:pPr>
        <w:pStyle w:val="Heading1"/>
      </w:pPr>
      <w:r>
        <w:t xml:space="preserve">Industry Overview</w:t>
      </w:r>
    </w:p>
    <w:p>
      <w:pPr>
        <w:pStyle w:val="Heading3"/>
      </w:pPr>
      <w:r>
        <w:t xml:space="preserve">Industry Overview</w:t>
      </w:r>
    </w:p>
    <w:p>
      <w:pPr>
        <w:spacing w:after="200" w:line="276"/>
        <w:jc w:val="both"/>
      </w:pPr>
      <w:r>
        <w:rPr>
          <w:rFonts w:ascii="Calibri" w:cs="Calibri" w:eastAsia="Calibri" w:hAnsi="Calibri"/>
          <w:sz w:val="22"/>
          <w:szCs w:val="22"/>
        </w:rPr>
        <w:t xml:space="preserve">The data protection and privacy software industry encompasses companies that develop and provide solutions for securing, encrypting, and managing sensitive digital information across enterprise and government organizations. This industry has experienced significant growth driven by increasing cyber threats, stringent data privacy regulations, and the digital transformation of business operations. Key solutions include email encryption, data loss prevention (DLP), endpoint protection, cloud security, and privacy compliance tools. The industry serves a diverse customer base including financial services, healthcare, government agencies, and technology companies that require robust data protection capabilities to safeguard sensitive information and maintain regulatory compliance. The sector has evolved from traditional on-premises security solutions to cloud-based, AI-powered platforms that provide real-time threat detection and automated privacy controls.</w:t>
      </w:r>
    </w:p>
    <w:p>
      <w:pPr>
        <w:pStyle w:val="Heading3"/>
      </w:pPr>
      <w:r>
        <w:t xml:space="preserve">Market Size and Growth</w:t>
      </w:r>
    </w:p>
    <w:p>
      <w:pPr>
        <w:spacing w:after="200" w:line="276"/>
        <w:jc w:val="both"/>
      </w:pPr>
      <w:r>
        <w:rPr>
          <w:rFonts w:ascii="Calibri" w:cs="Calibri" w:eastAsia="Calibri" w:hAnsi="Calibri"/>
          <w:sz w:val="22"/>
          <w:szCs w:val="22"/>
        </w:rPr>
        <w:t xml:space="preserve">The Data Protection and Privacy Software Industry market is valued at The global data protection software market was valued at approximately $12.6 billion in 2023[1]. The market has demonstrated CAGR of 12.3% from 2023-2030, with the market expected to reach $28.1 billion by 2030[2]. </w:t>
      </w:r>
    </w:p>
    <w:p>
      <w:pPr>
        <w:pStyle w:val="Heading3"/>
      </w:pPr>
      <w:r>
        <w:t xml:space="preserve">Key Growth Drivers</w:t>
      </w:r>
    </w:p>
    <w:p>
      <w:pPr>
        <w:spacing w:after="200" w:line="276"/>
        <w:jc w:val="both"/>
      </w:pPr>
      <w:r>
        <w:rPr>
          <w:rFonts w:ascii="Calibri" w:cs="Calibri" w:eastAsia="Calibri" w:hAnsi="Calibri"/>
          <w:sz w:val="22"/>
          <w:szCs w:val="22"/>
        </w:rPr>
        <w:t xml:space="preserve">The primary factors driving growth in this industry include:
• Increasing frequency and sophistication of cyber attacks
• Stringent data privacy regulations (GDPR, CCPA, HIPAA)
• Digital transformation and remote work adoption
• Growing volume of sensitive data generated by organizations
• Rising awareness of data breach costs and reputational damage
• Cloud migration and hybrid work environments</w:t>
      </w:r>
    </w:p>
    <w:p>
      <w:pPr>
        <w:pStyle w:val="Heading3"/>
      </w:pPr>
      <w:r>
        <w:t xml:space="preserve">Competitive Landscape</w:t>
      </w:r>
    </w:p>
    <w:p>
      <w:pPr>
        <w:spacing w:after="200" w:line="276"/>
        <w:jc w:val="both"/>
      </w:pPr>
      <w:r>
        <w:rPr>
          <w:rFonts w:ascii="Calibri" w:cs="Calibri" w:eastAsia="Calibri" w:hAnsi="Calibri"/>
          <w:sz w:val="22"/>
          <w:szCs w:val="22"/>
        </w:rPr>
        <w:t xml:space="preserve">The industry is characterized by a mix of established cybersecurity giants and specialized niche players. Large enterprise security vendors dominate the market through comprehensive security suites, while smaller companies compete by offering specialized solutions or superior technology in specific areas. The market shows moderate concentration with the top 10 players controlling approximately 60% of market share. Barriers to entry include significant R&amp;D requirements, the need for security certifications, customer trust and reputation requirements, and the complexity of enterprise sales cycles. Competition is intensifying as traditional IT companies expand into security and new entrants leverage AI and machine learning capabilities.</w:t>
      </w:r>
    </w:p>
    <w:p>
      <w:pPr>
        <w:spacing w:after="200" w:line="276"/>
        <w:jc w:val="both"/>
      </w:pPr>
      <w:r>
        <w:rPr>
          <w:rFonts w:ascii="Calibri" w:cs="Calibri" w:eastAsia="Calibri" w:hAnsi="Calibri"/>
          <w:sz w:val="22"/>
          <w:szCs w:val="22"/>
        </w:rPr>
        <w:t xml:space="preserve">Key players in this market include Microsoft Corporation, Symantec (Broadcom), McAfee, Trend Micro, Forcepoint, among others.</w:t>
      </w:r>
    </w:p>
    <w:p>
      <w:pPr>
        <w:pStyle w:val="Heading3"/>
      </w:pPr>
      <w:r>
        <w:t xml:space="preserve">Recent Industry Trends</w:t>
      </w:r>
    </w:p>
    <w:p>
      <w:pPr>
        <w:spacing w:after="200" w:line="276"/>
        <w:ind w:left="720"/>
        <w:jc w:val="both"/>
      </w:pPr>
      <w:r>
        <w:rPr>
          <w:rFonts w:ascii="Calibri" w:cs="Calibri" w:eastAsia="Calibri" w:hAnsi="Calibri"/>
          <w:sz w:val="22"/>
          <w:szCs w:val="22"/>
        </w:rPr>
        <w:t xml:space="preserve">• Integration of artificial intelligence and machine learning for threat detection
• Shift toward zero-trust security architectures
• Increased focus on cloud-native security solutions
• Growing demand for privacy-by-design approaches
• Consolidation through mergers and acquisitions
• Expansion of managed security services offerings</w:t>
      </w:r>
    </w:p>
    <w:p>
      <w:pPr>
        <w:pStyle w:val="Heading3"/>
      </w:pPr>
      <w:r>
        <w:t xml:space="preserve">Regulatory Environment</w:t>
      </w:r>
    </w:p>
    <w:p>
      <w:pPr>
        <w:spacing w:after="200" w:line="276"/>
        <w:jc w:val="both"/>
      </w:pPr>
      <w:r>
        <w:rPr>
          <w:rFonts w:ascii="Calibri" w:cs="Calibri" w:eastAsia="Calibri" w:hAnsi="Calibri"/>
          <w:sz w:val="22"/>
          <w:szCs w:val="22"/>
        </w:rPr>
        <w:t xml:space="preserve">The industry operates in a heavily regulated environment with compliance requirements varying by geography and sector. Key regulations include the General Data Protection Regulation (GDPR) in Europe, California Consumer Privacy Act (CCPA) in the US, Health Insurance Portability and Accountability Act (HIPAA) for healthcare, and various financial services regulations. Government agencies increasingly mandate specific security standards for contractors and suppliers. The regulatory landscape continues to evolve with new privacy laws being enacted globally, creating both compliance challenges and market opportunities for solution providers.</w:t>
      </w:r>
    </w:p>
    <w:p>
      <w:pPr>
        <w:pStyle w:val="Heading3"/>
      </w:pPr>
      <w:r>
        <w:t xml:space="preserve">Industry Outlook</w:t>
      </w:r>
    </w:p>
    <w:p>
      <w:pPr>
        <w:spacing w:after="200" w:line="276"/>
        <w:jc w:val="both"/>
      </w:pPr>
      <w:r>
        <w:rPr>
          <w:rFonts w:ascii="Calibri" w:cs="Calibri" w:eastAsia="Calibri" w:hAnsi="Calibri"/>
          <w:sz w:val="22"/>
          <w:szCs w:val="22"/>
        </w:rPr>
        <w:t xml:space="preserve">The industry outlook remains highly positive over the next 3-5 years, driven by accelerating digital transformation, evolving threat landscapes, and expanding regulatory requirements. Growth is expected to be particularly strong in cloud security, AI-powered solutions, and privacy automation tools. The market will likely see continued consolidation as larger players acquire specialized technologies and smaller companies. Emerging technologies such as quantum computing may create new security challenges and opportunities. The increasing focus on data sovereignty and cross-border data transfer restrictions will create additional demand for localized and privacy-preserving solutions.</w:t>
      </w:r>
    </w:p>
    <w:p>
      <w:pPr>
        <w:pStyle w:val="Heading3"/>
      </w:pPr>
      <w:r>
        <w:t xml:space="preserve">Sources</w:t>
      </w:r>
    </w:p>
    <w:p>
      <w:pPr>
        <w:spacing w:after="100" w:line="276"/>
        <w:jc w:val="both"/>
      </w:pPr>
      <w:r>
        <w:rPr>
          <w:rFonts w:ascii="Calibri" w:cs="Calibri" w:eastAsia="Calibri" w:hAnsi="Calibri"/>
          <w:sz w:val="22"/>
          <w:szCs w:val="22"/>
        </w:rPr>
        <w:t xml:space="preserve">1. Grand View Research Market Analysis</w:t>
      </w:r>
    </w:p>
    <w:p>
      <w:pPr>
        <w:spacing w:after="100" w:line="276"/>
        <w:jc w:val="both"/>
      </w:pPr>
      <w:r>
        <w:rPr>
          <w:rFonts w:ascii="Calibri" w:cs="Calibri" w:eastAsia="Calibri" w:hAnsi="Calibri"/>
          <w:sz w:val="22"/>
          <w:szCs w:val="22"/>
        </w:rPr>
        <w:t xml:space="preserve">2. Industry research reports and market analysis</w:t>
      </w:r>
    </w:p>
    <w:p>
      <w:pPr>
        <w:spacing w:after="100" w:line="276"/>
        <w:jc w:val="both"/>
      </w:pPr>
      <w:r>
        <w:rPr>
          <w:rFonts w:ascii="Calibri" w:cs="Calibri" w:eastAsia="Calibri" w:hAnsi="Calibri"/>
          <w:sz w:val="22"/>
          <w:szCs w:val="22"/>
        </w:rPr>
        <w:t xml:space="preserve">3. Cybersecurity industry analysis reports</w:t>
      </w:r>
    </w:p>
    <w:p>
      <w:pPr>
        <w:spacing w:after="100" w:line="276"/>
        <w:jc w:val="both"/>
      </w:pPr>
      <w:r>
        <w:rPr>
          <w:rFonts w:ascii="Calibri" w:cs="Calibri" w:eastAsia="Calibri" w:hAnsi="Calibri"/>
          <w:sz w:val="22"/>
          <w:szCs w:val="22"/>
        </w:rPr>
        <w:t xml:space="preserve">4. ISC2 Cybersecurity Workforce Study</w:t>
      </w:r>
    </w:p>
    <w:p>
      <w:pPr>
        <w:pStyle w:val="Heading1"/>
      </w:pPr>
      <w:r>
        <w:t xml:space="preserve">Economic Environment</w:t>
      </w:r>
    </w:p>
    <w:p>
      <w:pPr>
        <w:spacing w:before="100" w:after="100"/>
      </w:pPr>
      <w:r>
        <w:rPr>
          <w:rFonts w:ascii="Calibri" w:cs="Calibri" w:eastAsia="Calibri" w:hAnsi="Calibri"/>
          <w:b/>
          <w:bCs/>
          <w:sz w:val="22"/>
          <w:szCs w:val="22"/>
          <w:highlight w:val="yellow"/>
          <w:highlightCs w:val="yellow"/>
        </w:rPr>
        <w:t xml:space="preserve">[MISSING: Economic outlook content - load from stored document]</w:t>
      </w:r>
    </w:p>
    <w:p>
      <w:r>
        <w:br w:type="page"/>
      </w:r>
    </w:p>
    <w:p>
      <w:pPr>
        <w:pStyle w:val="Heading1"/>
      </w:pPr>
      <w:r>
        <w:t xml:space="preserve">Valuation Analysis</w:t>
      </w:r>
    </w:p>
    <w:p>
      <w:pPr>
        <w:spacing w:after="200" w:line="276"/>
        <w:jc w:val="both"/>
      </w:pPr>
      <w:r>
        <w:rPr>
          <w:rFonts w:ascii="Calibri" w:cs="Calibri" w:eastAsia="Calibri" w:hAnsi="Calibri"/>
          <w:sz w:val="22"/>
          <w:szCs w:val="22"/>
        </w:rPr>
        <w:t xml:space="preserve">The following valuation approaches were considered and applied in determining the fair market value:</w:t>
      </w:r>
    </w:p>
    <w:p>
      <w:pPr>
        <w:pStyle w:val="Heading2"/>
      </w:pPr>
      <w:r>
        <w:t xml:space="preserve">Market Approach</w:t>
      </w:r>
    </w:p>
    <w:p>
      <w:pPr>
        <w:spacing w:after="200" w:line="276"/>
        <w:jc w:val="both"/>
      </w:pPr>
      <w:r>
        <w:rPr>
          <w:rFonts w:ascii="Calibri" w:cs="Calibri" w:eastAsia="Calibri" w:hAnsi="Calibri"/>
          <w:sz w:val="22"/>
          <w:szCs w:val="22"/>
        </w:rPr>
        <w:t xml:space="preserve">## Market Approach</w:t>
      </w:r>
    </w:p>
    <w:p>
      <w:pPr>
        <w:spacing w:after="200" w:line="276"/>
        <w:jc w:val="both"/>
      </w:pPr>
      <w:r>
        <w:rPr>
          <w:rFonts w:ascii="Calibri" w:cs="Calibri" w:eastAsia="Calibri" w:hAnsi="Calibri"/>
          <w:sz w:val="22"/>
          <w:szCs w:val="22"/>
        </w:rPr>
        <w:t xml:space="preserve">The market approach estimates value by analyzing transactions involving comparable companies or securities. This methodology is predicated on the principle that rational investors make investment decisions based on comparisons with similar investment alternatives available in the marketplace.</w:t>
      </w:r>
    </w:p>
    <w:p>
      <w:pPr>
        <w:spacing w:after="200" w:line="276"/>
        <w:jc w:val="both"/>
      </w:pPr>
      <w:r>
        <w:rPr>
          <w:rFonts w:ascii="Calibri" w:cs="Calibri" w:eastAsia="Calibri" w:hAnsi="Calibri"/>
          <w:sz w:val="22"/>
          <w:szCs w:val="22"/>
        </w:rPr>
        <w:t xml:space="preserve">### Methodology and Application</w:t>
      </w:r>
    </w:p>
    <w:p>
      <w:pPr>
        <w:spacing w:after="200" w:line="276"/>
        <w:jc w:val="both"/>
      </w:pPr>
      <w:r>
        <w:rPr>
          <w:rFonts w:ascii="Calibri" w:cs="Calibri" w:eastAsia="Calibri" w:hAnsi="Calibri"/>
          <w:sz w:val="22"/>
          <w:szCs w:val="22"/>
        </w:rPr>
        <w:t xml:space="preserve">For the Subject Company's valuation, the market approach analysis considered two primary methodologies: the guideline public company method and the guideline transaction method. The guideline public company method derives valuation multiples from publicly traded companies with similar business characteristics, operating metrics, and market positioning. The guideline transaction method examines recent merger and acquisition transactions involving comparable private companies to establish relevant valuation benchmarks.</w:t>
      </w:r>
    </w:p>
    <w:p>
      <w:pPr>
        <w:spacing w:after="200" w:line="276"/>
        <w:jc w:val="both"/>
      </w:pPr>
      <w:r>
        <w:rPr>
          <w:rFonts w:ascii="Calibri" w:cs="Calibri" w:eastAsia="Calibri" w:hAnsi="Calibri"/>
          <w:sz w:val="22"/>
          <w:szCs w:val="22"/>
        </w:rPr>
        <w:t xml:space="preserve">The analysis focused on identifying companies with similar business models, revenue profiles, growth trajectories, and market dynamics. Relevant valuation multiples were calculated based on enterprise value and equity value metrics, including revenue multiples and, where applicable, earnings-based multiples. These multiples were then applied to the Subject Company's corresponding financial metrics, with appropriate adjustments for differences in size, growth prospects, profitability, and risk profiles.</w:t>
      </w:r>
    </w:p>
    <w:p>
      <w:pPr>
        <w:spacing w:after="200" w:line="276"/>
        <w:jc w:val="both"/>
      </w:pPr>
      <w:r>
        <w:rPr>
          <w:rFonts w:ascii="Calibri" w:cs="Calibri" w:eastAsia="Calibri" w:hAnsi="Calibri"/>
          <w:sz w:val="22"/>
          <w:szCs w:val="22"/>
        </w:rPr>
        <w:t xml:space="preserve">### Key Considerations and Limitations</w:t>
      </w:r>
    </w:p>
    <w:p>
      <w:pPr>
        <w:spacing w:after="200" w:line="276"/>
        <w:jc w:val="both"/>
      </w:pPr>
      <w:r>
        <w:rPr>
          <w:rFonts w:ascii="Calibri" w:cs="Calibri" w:eastAsia="Calibri" w:hAnsi="Calibri"/>
          <w:sz w:val="22"/>
          <w:szCs w:val="22"/>
        </w:rPr>
        <w:t xml:space="preserve">The application of the market approach required careful consideration of the comparability factors between the Subject Company and the selected guideline companies. Key adjustments were made to account for differences in company size, market position, geographic scope, and operational characteristics. The analysis also incorporated appropriate discounts for lack of marketability and minority interest positions, as applicable.</w:t>
      </w:r>
    </w:p>
    <w:p>
      <w:pPr>
        <w:spacing w:after="200" w:line="276"/>
        <w:jc w:val="both"/>
      </w:pPr>
      <w:r>
        <w:rPr>
          <w:rFonts w:ascii="Calibri" w:cs="Calibri" w:eastAsia="Calibri" w:hAnsi="Calibri"/>
          <w:sz w:val="22"/>
          <w:szCs w:val="22"/>
        </w:rPr>
        <w:t xml:space="preserve">The reliability of the market approach is dependent upon the availability of truly comparable companies and transactions, as well as the quality and timeliness of the underlying market data. Market conditions and investor sentiment at the valuation date were considered in the analysis.</w:t>
      </w:r>
    </w:p>
    <w:p>
      <w:pPr>
        <w:spacing w:after="200" w:line="276"/>
        <w:jc w:val="both"/>
      </w:pPr>
      <w:r>
        <w:rPr>
          <w:rFonts w:ascii="Calibri" w:cs="Calibri" w:eastAsia="Calibri" w:hAnsi="Calibri"/>
          <w:sz w:val="22"/>
          <w:szCs w:val="22"/>
        </w:rPr>
        <w:t xml:space="preserve">### Conclusion</w:t>
      </w:r>
    </w:p>
    <w:p>
      <w:pPr>
        <w:spacing w:after="200" w:line="276"/>
        <w:jc w:val="both"/>
      </w:pPr>
      <w:r>
        <w:rPr>
          <w:rFonts w:ascii="Calibri" w:cs="Calibri" w:eastAsia="Calibri" w:hAnsi="Calibri"/>
          <w:sz w:val="22"/>
          <w:szCs w:val="22"/>
        </w:rPr>
        <w:t xml:space="preserve">Based on the market approach analysis and the factors described above, this methodology provides a relevant indication of value for the Subject Company's equity interests. The market-derived valuation serves as an important benchmark in the overall valuation conclusion, reflecting how similar companies are valued by market participants under current market conditions.</w:t>
      </w:r>
    </w:p>
    <w:p>
      <w:pPr>
        <w:pStyle w:val="Heading2"/>
      </w:pPr>
      <w:r>
        <w:t xml:space="preserve">OPM Backsolve</w:t>
      </w:r>
    </w:p>
    <w:p>
      <w:pPr>
        <w:spacing w:after="200" w:line="276"/>
        <w:jc w:val="both"/>
      </w:pPr>
      <w:r>
        <w:rPr>
          <w:rFonts w:ascii="Calibri" w:cs="Calibri" w:eastAsia="Calibri" w:hAnsi="Calibri"/>
          <w:sz w:val="22"/>
          <w:szCs w:val="22"/>
        </w:rPr>
        <w:t xml:space="preserve">## Backsolve Method</w:t>
      </w:r>
    </w:p>
    <w:p>
      <w:pPr>
        <w:spacing w:after="200" w:line="276"/>
        <w:jc w:val="both"/>
      </w:pPr>
      <w:r>
        <w:rPr>
          <w:rFonts w:ascii="Calibri" w:cs="Calibri" w:eastAsia="Calibri" w:hAnsi="Calibri"/>
          <w:sz w:val="22"/>
          <w:szCs w:val="22"/>
        </w:rPr>
        <w:t xml:space="preserve">### Overview and Methodology</w:t>
      </w:r>
    </w:p>
    <w:p>
      <w:pPr>
        <w:spacing w:after="200" w:line="276"/>
        <w:jc w:val="both"/>
      </w:pPr>
      <w:r>
        <w:rPr>
          <w:rFonts w:ascii="Calibri" w:cs="Calibri" w:eastAsia="Calibri" w:hAnsi="Calibri"/>
          <w:sz w:val="22"/>
          <w:szCs w:val="22"/>
        </w:rPr>
        <w:t xml:space="preserve">The backsolve method is a valuation approach that derives the implied total equity value of a company by analyzing the pricing of a recent arm's-length financing transaction. This method utilizes the Option Pricing Method ("OPM") to allocate value among the various classes of securities in the Subject Company's capital structure, working backwards from the transaction price to determine the total equity value that would result in the observed preferred stock pricing.</w:t>
      </w:r>
    </w:p>
    <w:p>
      <w:pPr>
        <w:spacing w:after="200" w:line="276"/>
        <w:jc w:val="both"/>
      </w:pPr>
      <w:r>
        <w:rPr>
          <w:rFonts w:ascii="Calibri" w:cs="Calibri" w:eastAsia="Calibri" w:hAnsi="Calibri"/>
          <w:sz w:val="22"/>
          <w:szCs w:val="22"/>
        </w:rPr>
        <w:t xml:space="preserve">### Recent Transaction Analysis</w:t>
      </w:r>
    </w:p>
    <w:p>
      <w:pPr>
        <w:spacing w:after="200" w:line="276"/>
        <w:jc w:val="both"/>
      </w:pPr>
      <w:r>
        <w:rPr>
          <w:rFonts w:ascii="Calibri" w:cs="Calibri" w:eastAsia="Calibri" w:hAnsi="Calibri"/>
          <w:sz w:val="22"/>
          <w:szCs w:val="22"/>
        </w:rPr>
        <w:t xml:space="preserve">The backsolve analysis is based on the Subject Company's most recent financing round, which involved the issuance of preferred stock to third-party investors. This transaction represents a contemporaneous market-based data point that reflects investor perceptions of the Subject Company's value at the time of investment. The transaction was conducted between willing parties operating at arm's length, with both the Subject Company and investors having access to relevant information regarding the company's business operations, financial performance, and market prospects.</w:t>
      </w:r>
    </w:p>
    <w:p>
      <w:pPr>
        <w:spacing w:after="200" w:line="276"/>
        <w:jc w:val="both"/>
      </w:pPr>
      <w:r>
        <w:rPr>
          <w:rFonts w:ascii="Calibri" w:cs="Calibri" w:eastAsia="Calibri" w:hAnsi="Calibri"/>
          <w:sz w:val="22"/>
          <w:szCs w:val="22"/>
        </w:rPr>
        <w:t xml:space="preserve">### Allocation Methodology and Key Assumptions</w:t>
      </w:r>
    </w:p>
    <w:p>
      <w:pPr>
        <w:spacing w:after="200" w:line="276"/>
        <w:jc w:val="both"/>
      </w:pPr>
      <w:r>
        <w:rPr>
          <w:rFonts w:ascii="Calibri" w:cs="Calibri" w:eastAsia="Calibri" w:hAnsi="Calibri"/>
          <w:sz w:val="22"/>
          <w:szCs w:val="22"/>
        </w:rPr>
        <w:t xml:space="preserve">The OPM was employed to allocate the derived total equity value among the Subject Company's various security classes, including common stock, stock options, and preferred stock. The OPM treats each class of stock as a call option on the company's total equity value, with exercise prices based on the liquidation preferences and participation rights of each security class.</w:t>
      </w:r>
    </w:p>
    <w:p>
      <w:pPr>
        <w:spacing w:after="200" w:line="276"/>
        <w:jc w:val="both"/>
      </w:pPr>
      <w:r>
        <w:rPr>
          <w:rFonts w:ascii="Calibri" w:cs="Calibri" w:eastAsia="Calibri" w:hAnsi="Calibri"/>
          <w:sz w:val="22"/>
          <w:szCs w:val="22"/>
        </w:rPr>
        <w:t xml:space="preserve">Key assumptions underlying the backsolve analysis include the volatility estimate for the Subject Company's equity value, the time to liquidity event, and the risk-free rate. The volatility assumption was derived from analysis of comparable public companies and reflects the inherent uncertainty in the Subject Company's future performance and exit scenarios.</w:t>
      </w:r>
    </w:p>
    <w:p>
      <w:pPr>
        <w:spacing w:after="200" w:line="276"/>
        <w:jc w:val="both"/>
      </w:pPr>
      <w:r>
        <w:rPr>
          <w:rFonts w:ascii="Calibri" w:cs="Calibri" w:eastAsia="Calibri" w:hAnsi="Calibri"/>
          <w:sz w:val="22"/>
          <w:szCs w:val="22"/>
        </w:rPr>
        <w:t xml:space="preserve">### Transaction Relevance and Conclusion</w:t>
      </w:r>
    </w:p>
    <w:p>
      <w:pPr>
        <w:spacing w:after="200" w:line="276"/>
        <w:jc w:val="both"/>
      </w:pPr>
      <w:r>
        <w:rPr>
          <w:rFonts w:ascii="Calibri" w:cs="Calibri" w:eastAsia="Calibri" w:hAnsi="Calibri"/>
          <w:sz w:val="22"/>
          <w:szCs w:val="22"/>
        </w:rPr>
        <w:t xml:space="preserve">The recent financing transaction provides a highly relevant and contemporaneous indication of value, as it reflects current market conditions and investor sentiment toward the Subject Company's business model and growth prospects. The arm's-length nature of the transaction and the sophistication of the participating investors support the reliability of this valuation approach. The backsolve method provides a market-based indication of the Subject Company's total equity value and serves as an important benchmark in the overall valuation analysis.</w:t>
      </w:r>
    </w:p>
    <w:p>
      <w:pPr>
        <w:pStyle w:val="Heading2"/>
      </w:pPr>
      <w:r>
        <w:t xml:space="preserve">Guideline Transaction</w:t>
      </w:r>
    </w:p>
    <w:p>
      <w:pPr>
        <w:spacing w:after="200" w:line="276"/>
        <w:jc w:val="both"/>
      </w:pPr>
      <w:r>
        <w:rPr>
          <w:rFonts w:ascii="Calibri" w:cs="Calibri" w:eastAsia="Calibri" w:hAnsi="Calibri"/>
          <w:sz w:val="22"/>
          <w:szCs w:val="22"/>
        </w:rPr>
        <w:t xml:space="preserve">## Guideline Transaction Method</w:t>
      </w:r>
    </w:p>
    <w:p>
      <w:pPr>
        <w:spacing w:after="200" w:line="276"/>
        <w:jc w:val="both"/>
      </w:pPr>
      <w:r>
        <w:rPr>
          <w:rFonts w:ascii="Calibri" w:cs="Calibri" w:eastAsia="Calibri" w:hAnsi="Calibri"/>
          <w:sz w:val="22"/>
          <w:szCs w:val="22"/>
        </w:rPr>
        <w:t xml:space="preserve">The Guideline Transaction Method estimates enterprise value by analyzing recent merger and acquisition transactions involving companies with similar business characteristics, operating models, and market positioning to the Subject Company. This method relies on the principle that rational buyers and sellers establish fair market value through arm's length transactions, providing market-based evidence of value for comparable enterprises.</w:t>
      </w:r>
    </w:p>
    <w:p>
      <w:pPr>
        <w:spacing w:after="200" w:line="276"/>
        <w:jc w:val="both"/>
      </w:pPr>
      <w:r>
        <w:rPr>
          <w:rFonts w:ascii="Calibri" w:cs="Calibri" w:eastAsia="Calibri" w:hAnsi="Calibri"/>
          <w:sz w:val="22"/>
          <w:szCs w:val="22"/>
        </w:rPr>
        <w:t xml:space="preserve">**Transaction Selection and Screening Process**</w:t>
      </w:r>
    </w:p>
    <w:p>
      <w:pPr>
        <w:spacing w:after="200" w:line="276"/>
        <w:jc w:val="both"/>
      </w:pPr>
      <w:r>
        <w:rPr>
          <w:rFonts w:ascii="Calibri" w:cs="Calibri" w:eastAsia="Calibri" w:hAnsi="Calibri"/>
          <w:sz w:val="22"/>
          <w:szCs w:val="22"/>
        </w:rPr>
        <w:t xml:space="preserve">The analysis focused on identifying transactions involving companies operating in similar technology sectors with comparable business models, revenue characteristics, and market dynamics. Selection criteria included: (i) transactions completed within the past three to five years to ensure relevance in current market conditions; (ii) target companies with similar operational characteristics and end-market focus; (iii) transactions with sufficient disclosed financial information to calculate meaningful valuation multiples; and (iv) deals representing control transactions between unrelated parties to ensure arm's length pricing.</w:t>
      </w:r>
    </w:p>
    <w:p>
      <w:pPr>
        <w:spacing w:after="200" w:line="276"/>
        <w:jc w:val="both"/>
      </w:pPr>
      <w:r>
        <w:rPr>
          <w:rFonts w:ascii="Calibri" w:cs="Calibri" w:eastAsia="Calibri" w:hAnsi="Calibri"/>
          <w:sz w:val="22"/>
          <w:szCs w:val="22"/>
        </w:rPr>
        <w:t xml:space="preserve">Given the evolving nature of technology markets and valuation multiples, particular emphasis was placed on more recent transactions completed within the last 24 months to capture current market sentiment and pricing dynamics.</w:t>
      </w:r>
    </w:p>
    <w:p>
      <w:pPr>
        <w:spacing w:after="200" w:line="276"/>
        <w:jc w:val="both"/>
      </w:pPr>
      <w:r>
        <w:rPr>
          <w:rFonts w:ascii="Calibri" w:cs="Calibri" w:eastAsia="Calibri" w:hAnsi="Calibri"/>
          <w:sz w:val="22"/>
          <w:szCs w:val="22"/>
        </w:rPr>
        <w:t xml:space="preserve">**Multiple Analysis and Comparability Assessment**</w:t>
      </w:r>
    </w:p>
    <w:p>
      <w:pPr>
        <w:spacing w:after="200" w:line="276"/>
        <w:jc w:val="both"/>
      </w:pPr>
      <w:r>
        <w:rPr>
          <w:rFonts w:ascii="Calibri" w:cs="Calibri" w:eastAsia="Calibri" w:hAnsi="Calibri"/>
          <w:sz w:val="22"/>
          <w:szCs w:val="22"/>
        </w:rPr>
        <w:t xml:space="preserve">The analysis examined relevant valuation multiples including enterprise value-to-revenue and enterprise value-to-EBITDA ratios, where applicable financial metrics were available. Transaction multiples were analyzed across different time periods to identify trends and assess the impact of market conditions on valuation levels.</w:t>
      </w:r>
    </w:p>
    <w:p>
      <w:pPr>
        <w:spacing w:after="200" w:line="276"/>
        <w:jc w:val="both"/>
      </w:pPr>
      <w:r>
        <w:rPr>
          <w:rFonts w:ascii="Calibri" w:cs="Calibri" w:eastAsia="Calibri" w:hAnsi="Calibri"/>
          <w:sz w:val="22"/>
          <w:szCs w:val="22"/>
        </w:rPr>
        <w:t xml:space="preserve">**Adjustments and Limitations**</w:t>
      </w:r>
    </w:p>
    <w:p>
      <w:pPr>
        <w:spacing w:after="200" w:line="276"/>
        <w:jc w:val="both"/>
      </w:pPr>
      <w:r>
        <w:rPr>
          <w:rFonts w:ascii="Calibri" w:cs="Calibri" w:eastAsia="Calibri" w:hAnsi="Calibri"/>
          <w:sz w:val="22"/>
          <w:szCs w:val="22"/>
        </w:rPr>
        <w:t xml:space="preserve">The guideline transaction analysis required consideration of several factors affecting comparability, including differences in company size, growth profiles, profitability metrics, and market positioning relative to transaction targets. Size premiums and liquidity considerations inherent in control transactions were evaluated in the context of the Subject Company's characteristics.</w:t>
      </w:r>
    </w:p>
    <w:p>
      <w:pPr>
        <w:spacing w:after="200" w:line="276"/>
        <w:jc w:val="both"/>
      </w:pPr>
      <w:r>
        <w:rPr>
          <w:rFonts w:ascii="Calibri" w:cs="Calibri" w:eastAsia="Calibri" w:hAnsi="Calibri"/>
          <w:sz w:val="22"/>
          <w:szCs w:val="22"/>
        </w:rPr>
        <w:t xml:space="preserve">**Conclusion**</w:t>
      </w:r>
    </w:p>
    <w:p>
      <w:pPr>
        <w:spacing w:after="200" w:line="276"/>
        <w:jc w:val="both"/>
      </w:pPr>
      <w:r>
        <w:rPr>
          <w:rFonts w:ascii="Calibri" w:cs="Calibri" w:eastAsia="Calibri" w:hAnsi="Calibri"/>
          <w:sz w:val="22"/>
          <w:szCs w:val="22"/>
        </w:rPr>
        <w:t xml:space="preserve">While the guideline transaction method provides valuable market-based evidence, the analysis was constrained by limited availability of highly comparable transactions with sufficient disclosed financial information. The method serves as a useful benchmark for enterprise value, though reliance on this approach alone may not fully capture the Subject Company's specific value characteristics.</w:t>
      </w:r>
    </w:p>
    <w:p>
      <w:pPr>
        <w:pStyle w:val="Heading2"/>
      </w:pPr>
      <w:r>
        <w:t xml:space="preserve">Income Approach (DCF)</w:t>
      </w:r>
    </w:p>
    <w:p>
      <w:pPr>
        <w:spacing w:after="200" w:line="276"/>
        <w:jc w:val="both"/>
      </w:pPr>
      <w:r>
        <w:rPr>
          <w:rFonts w:ascii="Calibri" w:cs="Calibri" w:eastAsia="Calibri" w:hAnsi="Calibri"/>
          <w:sz w:val="22"/>
          <w:szCs w:val="22"/>
        </w:rPr>
        <w:t xml:space="preserve">## Income Approach - Discounted Cash Flow Analysis</w:t>
      </w:r>
    </w:p>
    <w:p>
      <w:pPr>
        <w:spacing w:after="200" w:line="276"/>
        <w:jc w:val="both"/>
      </w:pPr>
      <w:r>
        <w:rPr>
          <w:rFonts w:ascii="Calibri" w:cs="Calibri" w:eastAsia="Calibri" w:hAnsi="Calibri"/>
          <w:sz w:val="22"/>
          <w:szCs w:val="22"/>
        </w:rPr>
        <w:t xml:space="preserve">### Overview and Methodology</w:t>
      </w:r>
    </w:p>
    <w:p>
      <w:pPr>
        <w:spacing w:after="200" w:line="276"/>
        <w:jc w:val="both"/>
      </w:pPr>
      <w:r>
        <w:rPr>
          <w:rFonts w:ascii="Calibri" w:cs="Calibri" w:eastAsia="Calibri" w:hAnsi="Calibri"/>
          <w:sz w:val="22"/>
          <w:szCs w:val="22"/>
        </w:rPr>
        <w:t xml:space="preserve">The income approach estimates the fair value of the Subject Company's equity by calculating the present value of expected future cash flows available to equity holders. The discounted cash flow ("DCF") methodology is particularly appropriate for valuing operating companies with established business models and reasonably predictable cash flow patterns. Given the Subject Company's demonstrated operational performance and market position in the data protection and privacy technology sector, the DCF approach provides a fundamental basis for valuation by capturing the company's intrinsic value based on its ability to generate future economic returns.</w:t>
      </w:r>
    </w:p>
    <w:p>
      <w:pPr>
        <w:spacing w:after="200" w:line="276"/>
        <w:jc w:val="both"/>
      </w:pPr>
      <w:r>
        <w:rPr>
          <w:rFonts w:ascii="Calibri" w:cs="Calibri" w:eastAsia="Calibri" w:hAnsi="Calibri"/>
          <w:sz w:val="22"/>
          <w:szCs w:val="22"/>
        </w:rPr>
        <w:t xml:space="preserve">### Projection Period and Basis</w:t>
      </w:r>
    </w:p>
    <w:p>
      <w:pPr>
        <w:spacing w:after="200" w:line="276"/>
        <w:jc w:val="both"/>
      </w:pPr>
      <w:r>
        <w:rPr>
          <w:rFonts w:ascii="Calibri" w:cs="Calibri" w:eastAsia="Calibri" w:hAnsi="Calibri"/>
          <w:sz w:val="22"/>
          <w:szCs w:val="22"/>
        </w:rPr>
        <w:t xml:space="preserve">The analysis utilizes a discrete projection period followed by a terminal value calculation. The projections are based on management's business plan, historical financial performance, and industry-specific factors affecting the data security and privacy technology market. The discrete forecast period reflects the time horizon over which detailed projections can be reasonably estimated, considering the company's current stage of development and market dynamics.</w:t>
      </w:r>
    </w:p>
    <w:p>
      <w:pPr>
        <w:spacing w:after="200" w:line="276"/>
        <w:jc w:val="both"/>
      </w:pPr>
      <w:r>
        <w:rPr>
          <w:rFonts w:ascii="Calibri" w:cs="Calibri" w:eastAsia="Calibri" w:hAnsi="Calibri"/>
          <w:sz w:val="22"/>
          <w:szCs w:val="22"/>
        </w:rPr>
        <w:t xml:space="preserve">### Key Financial Assumptions</w:t>
      </w:r>
    </w:p>
    <w:p>
      <w:pPr>
        <w:spacing w:after="200" w:line="276"/>
        <w:jc w:val="both"/>
      </w:pPr>
      <w:r>
        <w:rPr>
          <w:rFonts w:ascii="Calibri" w:cs="Calibri" w:eastAsia="Calibri" w:hAnsi="Calibri"/>
          <w:sz w:val="22"/>
          <w:szCs w:val="22"/>
        </w:rPr>
        <w:t xml:space="preserve">Revenue growth assumptions incorporate the Subject Company's historical performance, management guidance, market opportunity, and competitive positioning within the enterprise data protection sector. The projections reflect expected customer acquisition rates, contract expansion, and market penetration based on industry trends and the company's demonstrated execution capabilities.</w:t>
      </w:r>
    </w:p>
    <w:p>
      <w:pPr>
        <w:spacing w:after="200" w:line="276"/>
        <w:jc w:val="both"/>
      </w:pPr>
      <w:r>
        <w:rPr>
          <w:rFonts w:ascii="Calibri" w:cs="Calibri" w:eastAsia="Calibri" w:hAnsi="Calibri"/>
          <w:sz w:val="22"/>
          <w:szCs w:val="22"/>
        </w:rPr>
        <w:t xml:space="preserve">Operating margin assumptions consider the Subject Company's current cost structure, scalability characteristics typical of software-as-a-service business models, and expected operational leverage as the business matures. The analysis incorporates assumptions regarding sales and marketing efficiency, research and development requirements, and general administrative expenses relative to revenue growth.</w:t>
      </w:r>
    </w:p>
    <w:p>
      <w:pPr>
        <w:spacing w:after="200" w:line="276"/>
        <w:jc w:val="both"/>
      </w:pPr>
      <w:r>
        <w:rPr>
          <w:rFonts w:ascii="Calibri" w:cs="Calibri" w:eastAsia="Calibri" w:hAnsi="Calibri"/>
          <w:sz w:val="22"/>
          <w:szCs w:val="22"/>
        </w:rPr>
        <w:t xml:space="preserve">Capital expenditure requirements reflect the technology infrastructure investments necessary to support business growth, including software development, platform enhancements, and operational scaling needs. Working capital considerations account for the timing differences between revenue recognition and cash collection, as well as the company's payment terms with suppliers and vendors.</w:t>
      </w:r>
    </w:p>
    <w:p>
      <w:pPr>
        <w:spacing w:after="200" w:line="276"/>
        <w:jc w:val="both"/>
      </w:pPr>
      <w:r>
        <w:rPr>
          <w:rFonts w:ascii="Calibri" w:cs="Calibri" w:eastAsia="Calibri" w:hAnsi="Calibri"/>
          <w:sz w:val="22"/>
          <w:szCs w:val="22"/>
        </w:rPr>
        <w:t xml:space="preserve">### Discount Rate Derivation</w:t>
      </w:r>
    </w:p>
    <w:p>
      <w:pPr>
        <w:spacing w:after="200" w:line="276"/>
        <w:jc w:val="both"/>
      </w:pPr>
      <w:r>
        <w:rPr>
          <w:rFonts w:ascii="Calibri" w:cs="Calibri" w:eastAsia="Calibri" w:hAnsi="Calibri"/>
          <w:sz w:val="22"/>
          <w:szCs w:val="22"/>
        </w:rPr>
        <w:t xml:space="preserve">The discount rate reflects the weighted average cost of capital ("WACC") appropriate for the Subject Company's risk profile. The cost of equity component incorporates the risk-free rate, equity risk premium, and company-specific risk factors including size, liquidity, and operational risks inherent in the data security technology sector. The analysis considers comparable public company beta estimates adjusted for the Subject Company's capital structure and business characteristics.</w:t>
      </w:r>
    </w:p>
    <w:p>
      <w:pPr>
        <w:spacing w:after="200" w:line="276"/>
        <w:jc w:val="both"/>
      </w:pPr>
      <w:r>
        <w:rPr>
          <w:rFonts w:ascii="Calibri" w:cs="Calibri" w:eastAsia="Calibri" w:hAnsi="Calibri"/>
          <w:sz w:val="22"/>
          <w:szCs w:val="22"/>
        </w:rPr>
        <w:t xml:space="preserve">### Terminal Value and Sensitivity Analysis</w:t>
      </w:r>
    </w:p>
    <w:p>
      <w:pPr>
        <w:spacing w:after="200" w:line="276"/>
        <w:jc w:val="both"/>
      </w:pPr>
      <w:r>
        <w:rPr>
          <w:rFonts w:ascii="Calibri" w:cs="Calibri" w:eastAsia="Calibri" w:hAnsi="Calibri"/>
          <w:sz w:val="22"/>
          <w:szCs w:val="22"/>
        </w:rPr>
        <w:t xml:space="preserve">Terminal value is calculated using appropriate methodologies that reflect the Subject Company's expected long-term growth prospects and competitive position. The analysis includes sensitivity testing across key variables including growth rates, margin assumptions, and discount rates to assess the reasonableness of the valuation conclusion and identify key value drivers.</w:t>
      </w:r>
    </w:p>
    <w:p>
      <w:pPr>
        <w:spacing w:after="200" w:line="276"/>
        <w:jc w:val="both"/>
      </w:pPr>
      <w:r>
        <w:rPr>
          <w:rFonts w:ascii="Calibri" w:cs="Calibri" w:eastAsia="Calibri" w:hAnsi="Calibri"/>
          <w:sz w:val="22"/>
          <w:szCs w:val="22"/>
        </w:rPr>
        <w:t xml:space="preserve">The DCF analysis provides a fundamental valuation perspective based on the Subject Company's projected ability to generate cash flows, serving as a primary indicator of intrinsic equity value.</w:t>
      </w:r>
    </w:p>
    <w:p>
      <w:pPr>
        <w:pStyle w:val="Heading2"/>
      </w:pPr>
      <w:r>
        <w:t xml:space="preserve">Asset Approach</w:t>
      </w:r>
    </w:p>
    <w:p>
      <w:pPr>
        <w:spacing w:after="200" w:line="276"/>
        <w:jc w:val="both"/>
      </w:pPr>
      <w:r>
        <w:rPr>
          <w:rFonts w:ascii="Calibri" w:cs="Calibri" w:eastAsia="Calibri" w:hAnsi="Calibri"/>
          <w:sz w:val="22"/>
          <w:szCs w:val="22"/>
        </w:rPr>
        <w:t xml:space="preserve">## Asset Approach</w:t>
      </w:r>
    </w:p>
    <w:p>
      <w:pPr>
        <w:spacing w:after="200" w:line="276"/>
        <w:jc w:val="both"/>
      </w:pPr>
      <w:r>
        <w:rPr>
          <w:rFonts w:ascii="Calibri" w:cs="Calibri" w:eastAsia="Calibri" w:hAnsi="Calibri"/>
          <w:sz w:val="22"/>
          <w:szCs w:val="22"/>
        </w:rPr>
        <w:t xml:space="preserve">The Asset Approach estimates the fair value of an equity interest based on the value of the underlying assets of the business, less its liabilities. This approach is premised on the principle that a prudent investor would pay no more for the equity of a business than the cost to obtain assets of equivalent utility. The Asset Approach encompasses several methodologies, including the Adjusted Net Asset Method and the Liquidation Value Method.</w:t>
      </w:r>
    </w:p>
    <w:p>
      <w:pPr>
        <w:spacing w:after="200" w:line="276"/>
        <w:jc w:val="both"/>
      </w:pPr>
      <w:r>
        <w:rPr>
          <w:rFonts w:ascii="Calibri" w:cs="Calibri" w:eastAsia="Calibri" w:hAnsi="Calibri"/>
          <w:sz w:val="22"/>
          <w:szCs w:val="22"/>
        </w:rPr>
        <w:t xml:space="preserve">Under the Adjusted Net Asset Method, the recorded book values of assets and liabilities are adjusted to reflect their respective fair market values as of the valuation date. This method is most appropriate for asset-intensive businesses, holding companies, or entities where the primary value driver consists of tangible assets rather than operational cash flows or intangible assets such as intellectual property, customer relationships, or going concern value.</w:t>
      </w:r>
    </w:p>
    <w:p>
      <w:pPr>
        <w:spacing w:after="200" w:line="276"/>
        <w:jc w:val="both"/>
      </w:pPr>
      <w:r>
        <w:rPr>
          <w:rFonts w:ascii="Calibri" w:cs="Calibri" w:eastAsia="Calibri" w:hAnsi="Calibri"/>
          <w:sz w:val="22"/>
          <w:szCs w:val="22"/>
        </w:rPr>
        <w:t xml:space="preserve">The Asset Approach is typically considered less relevant for operating technology companies that derive their value primarily from intangible assets, proprietary technology, customer relationships, and future growth prospects rather than from tangible asset holdings. For the Subject Company, the primary value drivers appear to be its technology platform, intellectual property, market position, and growth potential—characteristics that are not adequately captured through an asset-based valuation methodology.</w:t>
      </w:r>
    </w:p>
    <w:p>
      <w:pPr>
        <w:spacing w:after="200" w:line="276"/>
        <w:jc w:val="both"/>
      </w:pPr>
      <w:r>
        <w:rPr>
          <w:rFonts w:ascii="Calibri" w:cs="Calibri" w:eastAsia="Calibri" w:hAnsi="Calibri"/>
          <w:sz w:val="22"/>
          <w:szCs w:val="22"/>
        </w:rPr>
        <w:t xml:space="preserve">Given the Subject Company's business model and the nature of its operations as a technology enterprise, the Asset Approach would likely understate the fair value of the equity interest. The approach fails to capture the going concern value, growth prospects, and intangible assets that represent the core value proposition of the business. Technology companies typically maintain relatively modest tangible asset bases relative to their overall enterprise value, as their worth is predominantly derived from intellectual capital and future earning potential.</w:t>
      </w:r>
    </w:p>
    <w:p>
      <w:pPr>
        <w:spacing w:after="200" w:line="276"/>
        <w:jc w:val="both"/>
      </w:pPr>
      <w:r>
        <w:rPr>
          <w:rFonts w:ascii="Calibri" w:cs="Calibri" w:eastAsia="Calibri" w:hAnsi="Calibri"/>
          <w:sz w:val="22"/>
          <w:szCs w:val="22"/>
        </w:rPr>
        <w:t xml:space="preserve">Accordingly, the Asset Approach was not considered applicable for this valuation analysis and was not relied upon in determining the fair value of the Subject Company's common stock.</w:t>
      </w:r>
    </w:p>
    <w:p>
      <w:pPr>
        <w:pStyle w:val="Heading1"/>
      </w:pPr>
      <w:r>
        <w:t xml:space="preserve">Conclusion of Value</w:t>
      </w:r>
    </w:p>
    <w:p>
      <w:pPr>
        <w:pStyle w:val="Heading2"/>
      </w:pPr>
      <w:r>
        <w:t xml:space="preserve">Summary of Value Indications</w:t>
      </w:r>
    </w:p>
    <w:p>
      <w:pPr>
        <w:spacing w:before="100" w:after="100"/>
      </w:pPr>
      <w:r>
        <w:rPr>
          <w:rFonts w:ascii="Calibri" w:cs="Calibri" w:eastAsia="Calibri" w:hAnsi="Calibri"/>
          <w:b/>
          <w:bCs/>
          <w:sz w:val="22"/>
          <w:szCs w:val="22"/>
          <w:highlight w:val="yellow"/>
          <w:highlightCs w:val="yellow"/>
        </w:rPr>
        <w:t xml:space="preserve">[MISSING: Insert valuation summary table]</w:t>
      </w:r>
    </w:p>
    <w:p>
      <w:pPr>
        <w:pStyle w:val="Heading2"/>
      </w:pPr>
      <w:r>
        <w:t xml:space="preserve">Reconciliation and Conclusion</w:t>
      </w:r>
    </w:p>
    <w:p>
      <w:pPr>
        <w:spacing w:after="200" w:line="276"/>
        <w:jc w:val="both"/>
      </w:pPr>
      <w:r>
        <w:rPr>
          <w:rFonts w:ascii="Calibri" w:cs="Calibri" w:eastAsia="Calibri" w:hAnsi="Calibri"/>
          <w:sz w:val="22"/>
          <w:szCs w:val="22"/>
        </w:rPr>
        <w:t xml:space="preserve">## Conclusion and Reconciliation of Value</w:t>
      </w:r>
    </w:p>
    <w:p>
      <w:pPr>
        <w:spacing w:after="200" w:line="276"/>
        <w:jc w:val="both"/>
      </w:pPr>
      <w:r>
        <w:rPr>
          <w:rFonts w:ascii="Calibri" w:cs="Calibri" w:eastAsia="Calibri" w:hAnsi="Calibri"/>
          <w:sz w:val="22"/>
          <w:szCs w:val="22"/>
        </w:rPr>
        <w:t xml:space="preserve">The valuation analysis employed multiple approaches to estimate the fair value of the Company's common stock as of the valuation date. Each methodology provides a different perspective on value, and the weighting applied reflects the reliability, relevance, and applicability of each approach given the Company's current stage of development and market conditions.</w:t>
      </w:r>
    </w:p>
    <w:p>
      <w:pPr>
        <w:spacing w:after="200" w:line="276"/>
        <w:jc w:val="both"/>
      </w:pPr>
      <w:r>
        <w:rPr>
          <w:rFonts w:ascii="Calibri" w:cs="Calibri" w:eastAsia="Calibri" w:hAnsi="Calibri"/>
          <w:sz w:val="22"/>
          <w:szCs w:val="22"/>
        </w:rPr>
        <w:t xml:space="preserve">**Market Approach Considerations**</w:t>
      </w:r>
    </w:p>
    <w:p>
      <w:pPr>
        <w:spacing w:after="200" w:line="276"/>
        <w:jc w:val="both"/>
      </w:pPr>
      <w:r>
        <w:rPr>
          <w:rFonts w:ascii="Calibri" w:cs="Calibri" w:eastAsia="Calibri" w:hAnsi="Calibri"/>
          <w:sz w:val="22"/>
          <w:szCs w:val="22"/>
        </w:rPr>
        <w:t xml:space="preserve">The market approach, utilizing publicly traded guideline companies, provides insight into how similar businesses are valued by public market investors. However, this approach requires careful consideration of comparability factors, including differences in size, growth prospects, profitability, and market position between the Company and the selected guideline companies. The reliability of this approach depends on the availability of truly comparable public companies operating in similar market segments.</w:t>
      </w:r>
    </w:p>
    <w:p>
      <w:pPr>
        <w:spacing w:after="200" w:line="276"/>
        <w:jc w:val="both"/>
      </w:pPr>
      <w:r>
        <w:rPr>
          <w:rFonts w:ascii="Calibri" w:cs="Calibri" w:eastAsia="Calibri" w:hAnsi="Calibri"/>
          <w:sz w:val="22"/>
          <w:szCs w:val="22"/>
        </w:rPr>
        <w:t xml:space="preserve">**OPM Backsolve Analysis**</w:t>
      </w:r>
    </w:p>
    <w:p>
      <w:pPr>
        <w:spacing w:after="200" w:line="276"/>
        <w:jc w:val="both"/>
      </w:pPr>
      <w:r>
        <w:rPr>
          <w:rFonts w:ascii="Calibri" w:cs="Calibri" w:eastAsia="Calibri" w:hAnsi="Calibri"/>
          <w:sz w:val="22"/>
          <w:szCs w:val="22"/>
        </w:rPr>
        <w:t xml:space="preserve">The Option Pricing Model backsolve approach derives value from recent arm's-length transactions involving the Company's securities. The weight assigned to this approach considers the recency of the underlying transaction data, the arm's-length nature of the transactions, and whether the transaction participants had access to material information about the Company's prospects. As transaction data ages beyond six to twelve months, its relevance may diminish due to changing business conditions and market dynamics.</w:t>
      </w:r>
    </w:p>
    <w:p>
      <w:pPr>
        <w:spacing w:after="200" w:line="276"/>
        <w:jc w:val="both"/>
      </w:pPr>
      <w:r>
        <w:rPr>
          <w:rFonts w:ascii="Calibri" w:cs="Calibri" w:eastAsia="Calibri" w:hAnsi="Calibri"/>
          <w:sz w:val="22"/>
          <w:szCs w:val="22"/>
        </w:rPr>
        <w:t xml:space="preserve">**Guideline Transaction Method**</w:t>
      </w:r>
    </w:p>
    <w:p>
      <w:pPr>
        <w:spacing w:after="200" w:line="276"/>
        <w:jc w:val="both"/>
      </w:pPr>
      <w:r>
        <w:rPr>
          <w:rFonts w:ascii="Calibri" w:cs="Calibri" w:eastAsia="Calibri" w:hAnsi="Calibri"/>
          <w:sz w:val="22"/>
          <w:szCs w:val="22"/>
        </w:rPr>
        <w:t xml:space="preserve">The guideline transaction method analyzes recent merger and acquisition transactions involving comparable companies. This approach reflects control premiums and strategic value that acquirers place on similar businesses. The weighting considers the comparability of the selected transactions, their recency, and the availability of sufficient transaction details to support meaningful analysis.</w:t>
      </w:r>
    </w:p>
    <w:p>
      <w:pPr>
        <w:spacing w:after="200" w:line="276"/>
        <w:jc w:val="both"/>
      </w:pPr>
      <w:r>
        <w:rPr>
          <w:rFonts w:ascii="Calibri" w:cs="Calibri" w:eastAsia="Calibri" w:hAnsi="Calibri"/>
          <w:sz w:val="22"/>
          <w:szCs w:val="22"/>
        </w:rPr>
        <w:t xml:space="preserve">**Income Approach Assessment**</w:t>
      </w:r>
    </w:p>
    <w:p>
      <w:pPr>
        <w:spacing w:after="200" w:line="276"/>
        <w:jc w:val="both"/>
      </w:pPr>
      <w:r>
        <w:rPr>
          <w:rFonts w:ascii="Calibri" w:cs="Calibri" w:eastAsia="Calibri" w:hAnsi="Calibri"/>
          <w:sz w:val="22"/>
          <w:szCs w:val="22"/>
        </w:rPr>
        <w:t xml:space="preserve">The discounted cash flow analysis under the income approach reflects the Company's specific business fundamentals and growth prospects. For companies with established revenue streams and predictable cash flows, this approach may receive significant weight. However, the reliability diminishes for early-stage companies with limited operating history or uncertain revenue projections, as the analysis becomes increasingly dependent on speculative assumptions about future performance.</w:t>
      </w:r>
    </w:p>
    <w:p>
      <w:pPr>
        <w:spacing w:after="200" w:line="276"/>
        <w:jc w:val="both"/>
      </w:pPr>
      <w:r>
        <w:rPr>
          <w:rFonts w:ascii="Calibri" w:cs="Calibri" w:eastAsia="Calibri" w:hAnsi="Calibri"/>
          <w:sz w:val="22"/>
          <w:szCs w:val="22"/>
        </w:rPr>
        <w:t xml:space="preserve">**Asset Approach Evaluation**</w:t>
      </w:r>
    </w:p>
    <w:p>
      <w:pPr>
        <w:spacing w:after="200" w:line="276"/>
        <w:jc w:val="both"/>
      </w:pPr>
      <w:r>
        <w:rPr>
          <w:rFonts w:ascii="Calibri" w:cs="Calibri" w:eastAsia="Calibri" w:hAnsi="Calibri"/>
          <w:sz w:val="22"/>
          <w:szCs w:val="22"/>
        </w:rPr>
        <w:t xml:space="preserve">The asset approach typically receives minimal weight for operating technology companies, as it fails to capture the value of intangible assets, growth prospects, and going-concern value that drive enterprise value in this sector.</w:t>
      </w:r>
    </w:p>
    <w:p>
      <w:pPr>
        <w:spacing w:after="200" w:line="276"/>
        <w:jc w:val="both"/>
      </w:pPr>
      <w:r>
        <w:rPr>
          <w:rFonts w:ascii="Calibri" w:cs="Calibri" w:eastAsia="Calibri" w:hAnsi="Calibri"/>
          <w:sz w:val="22"/>
          <w:szCs w:val="22"/>
        </w:rPr>
        <w:t xml:space="preserve">**Concluded Fair Value**</w:t>
      </w:r>
    </w:p>
    <w:p>
      <w:pPr>
        <w:spacing w:after="200" w:line="276"/>
        <w:jc w:val="both"/>
      </w:pPr>
      <w:r>
        <w:rPr>
          <w:rFonts w:ascii="Calibri" w:cs="Calibri" w:eastAsia="Calibri" w:hAnsi="Calibri"/>
          <w:sz w:val="22"/>
          <w:szCs w:val="22"/>
        </w:rPr>
        <w:t xml:space="preserve">Based on the analysis and weighting of the applicable valuation approaches, the concluded fair value of the Company's common stock reflects a balanced consideration of market-based evidence, transaction-derived values, and company-specific fundamentals. The weighting emphasizes approaches with the strongest supporting evidence and greatest relevance to the Company's current circumstances, while appropriately discounting methodologies with significant limitations or reduced applicability.</w:t>
      </w:r>
    </w:p>
    <w:p>
      <w:pPr>
        <w:spacing w:after="200" w:line="276"/>
        <w:jc w:val="both"/>
      </w:pPr>
      <w:r>
        <w:rPr>
          <w:rFonts w:ascii="Calibri" w:cs="Calibri" w:eastAsia="Calibri" w:hAnsi="Calibri"/>
          <w:sz w:val="22"/>
          <w:szCs w:val="22"/>
        </w:rPr>
        <w:t xml:space="preserve">This conclusion is subject to the assumptions, limiting conditions, and qualifications set forth in this report and reflects the specific facts and circumstances existing as of the valuation date.</w:t>
      </w:r>
    </w:p>
    <w:p>
      <w:r>
        <w:br w:type="page"/>
      </w:r>
    </w:p>
    <w:p>
      <w:pPr>
        <w:pStyle w:val="Heading1"/>
      </w:pPr>
      <w:r>
        <w:t xml:space="preserve">Items Requiring Review</w:t>
      </w:r>
    </w:p>
    <w:p>
      <w:pPr>
        <w:spacing w:after="200" w:line="276"/>
        <w:jc w:val="both"/>
      </w:pPr>
      <w:r>
        <w:rPr>
          <w:rFonts w:ascii="Calibri" w:cs="Calibri" w:eastAsia="Calibri" w:hAnsi="Calibri"/>
          <w:b/>
          <w:bCs/>
          <w:sz w:val="22"/>
          <w:szCs w:val="22"/>
        </w:rPr>
        <w:t xml:space="preserve">The following items require review or additional input before finalizing this report:</w:t>
      </w:r>
    </w:p>
    <w:p>
      <w:pPr>
        <w:spacing w:after="100" w:line="276"/>
        <w:ind w:left="360"/>
        <w:jc w:val="both"/>
      </w:pPr>
      <w:r>
        <w:rPr>
          <w:rFonts w:ascii="Calibri" w:cs="Calibri" w:eastAsia="Calibri" w:hAnsi="Calibri"/>
          <w:sz w:val="22"/>
          <w:szCs w:val="22"/>
        </w:rPr>
        <w:t xml:space="preserve">📝 companyOverview: Limited company information available - review required</w:t>
      </w:r>
    </w:p>
    <w:p>
      <w:pPr>
        <w:spacing w:after="100" w:line="276"/>
        <w:ind w:left="360"/>
        <w:jc w:val="both"/>
      </w:pPr>
      <w:r>
        <w:rPr>
          <w:rFonts w:ascii="Calibri" w:cs="Calibri" w:eastAsia="Calibri" w:hAnsi="Calibri"/>
          <w:sz w:val="22"/>
          <w:szCs w:val="22"/>
        </w:rPr>
        <w:t xml:space="preserve">⚠️ economicOutlook: No economic outlook found for Q2 2025</w:t>
      </w:r>
    </w:p>
    <w:sectPr>
      <w:headerReference w:type="default" r:id="rId6"/>
      <w:footerReference w:type="default" r:id="rId7"/>
      <w:pgSz w:w="11906" w:h="16838"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4B5563"/>
        <w:sz w:val="18"/>
        <w:szCs w:val="18"/>
      </w:rPr>
      <w:t xml:space="preserve">CONFIDENTIAL DRAFT</w:t>
    </w:r>
    <w:r>
      <w:rPr>
        <w:rFonts w:ascii="Calibri" w:cs="Calibri" w:eastAsia="Calibri" w:hAnsi="Calibri"/>
        <w:color w:val="4B5563"/>
        <w:sz w:val="18"/>
        <w:szCs w:val="18"/>
      </w:rPr>
      <w:t xml:space="preserve">  |  Page </w:t>
    </w:r>
    <w:r>
      <w:rPr>
        <w:rFonts w:ascii="Calibri" w:cs="Calibri" w:eastAsia="Calibri" w:hAnsi="Calibri"/>
        <w:color w:val="4B5563"/>
        <w:sz w:val="18"/>
        <w:szCs w:val="18"/>
      </w:rPr>
      <w:fldChar w:fldCharType="begin"/>
      <w:instrText xml:space="preserve">PAGE</w:instrText>
      <w:fldChar w:fldCharType="separate"/>
      <w:fldChar w:fldCharType="end"/>
    </w:r>
    <w:r>
      <w:rPr>
        <w:rFonts w:ascii="Calibri" w:cs="Calibri" w:eastAsia="Calibri" w:hAnsi="Calibri"/>
        <w:color w:val="4B5563"/>
        <w:sz w:val="18"/>
        <w:szCs w:val="18"/>
      </w:rPr>
      <w:t xml:space="preserve"> of </w:t>
    </w:r>
    <w:r>
      <w:rPr>
        <w:rFonts w:ascii="Calibri" w:cs="Calibri" w:eastAsia="Calibri" w:hAnsi="Calibri"/>
        <w:color w:val="4B5563"/>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4B5563"/>
        <w:sz w:val="18"/>
        <w:szCs w:val="18"/>
      </w:rPr>
      <w:t xml:space="preserve">WrestleNow, Inc.</w:t>
    </w:r>
    <w:r>
      <w:rPr>
        <w:rFonts w:ascii="Calibri" w:cs="Calibri" w:eastAsia="Calibri" w:hAnsi="Calibri"/>
        <w:color w:val="4B5563"/>
        <w:sz w:val="18"/>
        <w:szCs w:val="18"/>
      </w:rPr>
      <w:t xml:space="preserve">  |  Business Valuation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20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240" w:after="120"/>
    </w:pPr>
    <w:rPr>
      <w:rFonts w:ascii="Calibri" w:cs="Calibri" w:eastAsia="Calibri" w:hAnsi="Calibri"/>
      <w:b/>
      <w:bCs/>
      <w:color w:val="1F2937"/>
      <w:sz w:val="28"/>
      <w:szCs w:val="28"/>
    </w:rPr>
  </w:style>
  <w:style w:type="paragraph" w:styleId="Heading2">
    <w:name w:val="Heading 2"/>
    <w:basedOn w:val="Normal"/>
    <w:next w:val="Normal"/>
    <w:qFormat/>
    <w:pPr>
      <w:spacing w:before="240" w:after="120"/>
    </w:pPr>
    <w:rPr>
      <w:rFonts w:ascii="Calibri" w:cs="Calibri" w:eastAsia="Calibri" w:hAnsi="Calibri"/>
      <w:b/>
      <w:bCs/>
      <w:color w:val="1F2937"/>
      <w:sz w:val="24"/>
      <w:szCs w:val="24"/>
    </w:rPr>
  </w:style>
  <w:style w:type="paragraph" w:styleId="Heading3">
    <w:name w:val="Heading 3"/>
    <w:basedOn w:val="Normal"/>
    <w:next w:val="Normal"/>
    <w:qFormat/>
    <w:pPr>
      <w:spacing w:before="160" w:after="80"/>
    </w:pPr>
    <w:rPr>
      <w:rFonts w:ascii="Calibri" w:cs="Calibri" w:eastAsia="Calibri" w:hAnsi="Calibri"/>
      <w:b/>
      <w:bCs/>
      <w:color w:val="4B5563"/>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2025-12-24T16:27:45.809Z</dcterms:created>
  <dcterms:modified xsi:type="dcterms:W3CDTF">2025-12-24T16:27:45.809Z</dcterms:modified>
</cp:coreProperties>
</file>

<file path=docProps/custom.xml><?xml version="1.0" encoding="utf-8"?>
<Properties xmlns="http://schemas.openxmlformats.org/officeDocument/2006/custom-properties" xmlns:vt="http://schemas.openxmlformats.org/officeDocument/2006/docPropsVTypes"/>
</file>