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76"/>
        <w:jc w:val="center"/>
      </w:pPr>
      <w:r>
        <w:rPr>
          <w:rFonts w:ascii="Calibri" w:cs="Calibri" w:eastAsia="Calibri" w:hAnsi="Calibri"/>
          <w:b/>
          <w:bCs/>
          <w:sz w:val="22"/>
          <w:szCs w:val="22"/>
        </w:rPr>
        <w:t xml:space="preserve">GENERATED REPORT SECTIONS</w:t>
      </w:r>
    </w:p>
    <w:p>
      <w:pPr>
        <w:spacing w:after="200" w:line="276"/>
        <w:jc w:val="both"/>
      </w:pPr>
      <w:r>
        <w:rPr>
          <w:rFonts w:ascii="Calibri" w:cs="Calibri" w:eastAsia="Calibri" w:hAnsi="Calibri"/>
          <w:b/>
          <w:bCs/>
          <w:sz w:val="22"/>
          <w:szCs w:val="22"/>
        </w:rPr>
        <w:t xml:space="preserve">Company Name: Virtu, Inc.</w:t>
      </w:r>
    </w:p>
    <w:p>
      <w:pPr>
        <w:spacing w:after="200" w:line="276"/>
        <w:jc w:val="both"/>
      </w:pPr>
      <w:r>
        <w:rPr>
          <w:rFonts w:ascii="Calibri" w:cs="Calibri" w:eastAsia="Calibri" w:hAnsi="Calibri"/>
          <w:sz w:val="22"/>
          <w:szCs w:val="22"/>
        </w:rPr>
        <w:t xml:space="preserve">Valuation Date: May 30, 2025</w:t>
      </w:r>
    </w:p>
    <w:p>
      <w:pPr>
        <w:spacing w:after="200" w:line="276"/>
        <w:jc w:val="both"/>
      </w:pPr>
      <w:r>
        <w:rPr>
          <w:rFonts w:ascii="Calibri" w:cs="Calibri" w:eastAsia="Calibri" w:hAnsi="Calibri"/>
          <w:sz w:val="22"/>
          <w:szCs w:val="22"/>
        </w:rPr>
        <w:t xml:space="preserve">Report Type: Gift &amp; Estate (59-60)</w:t>
      </w:r>
    </w:p>
    <w:p>
      <w:pPr>
        <w:spacing w:after="200" w:line="276"/>
        <w:jc w:val="both"/>
      </w:pPr>
      <w:r>
        <w:rPr>
          <w:rFonts w:ascii="Calibri" w:cs="Calibri" w:eastAsia="Calibri" w:hAnsi="Calibri"/>
          <w:sz w:val="22"/>
          <w:szCs w:val="22"/>
        </w:rPr>
        <w:t xml:space="preserve">Generated: December 24, 2025 at 08:24 PM</w:t>
      </w:r>
    </w:p>
    <w:p>
      <w:pPr>
        <w:spacing w:before="200" w:after="200" w:line="276"/>
        <w:jc w:val="both"/>
      </w:pPr>
      <w:r>
        <w:rPr>
          <w:rFonts w:ascii="Calibri" w:cs="Calibri" w:eastAsia="Calibri" w:hAnsi="Calibri"/>
          <w:i/>
          <w:iCs/>
          <w:sz w:val="22"/>
          <w:szCs w:val="22"/>
        </w:rPr>
        <w:t xml:space="preserve">This document contains AI-generated sections for your valuation report. Copy each section into your Word template as needed.</w:t>
      </w:r>
    </w:p>
    <w:p>
      <w:pPr>
        <w:spacing w:before="400" w:after="400" w:line="276"/>
        <w:jc w:val="center"/>
      </w:pPr>
      <w:r>
        <w:rPr>
          <w:rFonts w:ascii="Calibri" w:cs="Calibri" w:eastAsia="Calibri" w:hAnsi="Calibri"/>
          <w:sz w:val="22"/>
          <w:szCs w:val="22"/>
        </w:rPr>
        <w:t xml:space="preserve">────────────────────────────────────────────────────────────</w:t>
      </w:r>
    </w:p>
    <w:p>
      <w:pPr>
        <w:pStyle w:val="Heading1"/>
      </w:pPr>
      <w:r>
        <w:t xml:space="preserve">COMPANY OVERVIEW</w:t>
      </w:r>
    </w:p>
    <w:p>
      <w:pPr>
        <w:spacing w:after="200" w:line="276"/>
        <w:jc w:val="both"/>
      </w:pPr>
      <w:r>
        <w:rPr>
          <w:rFonts w:ascii="Calibri" w:cs="Calibri" w:eastAsia="Calibri" w:hAnsi="Calibri"/>
          <w:sz w:val="22"/>
          <w:szCs w:val="22"/>
        </w:rPr>
        <w:t xml:space="preserve">Virtu Financial, Inc. is a leading financial technology company and market maker that operates in global financial markets. Founded in 2008 by Vincent Viola, the company went public in 2015 and is headquartered in New York City. Virtu specializes in market making and liquidity provision across multiple asset classes including equities, fixed income, currencies, and commodities. The company leverages advanced technology, quantitative research, and risk management to provide liquidity to the global financial markets on a 24/7 basis across more than 50 countries and in over 25,000 securities, serving institutional clients, retail brokers, and exchanges worldwide.</w:t>
      </w:r>
    </w:p>
    <w:p>
      <w:pPr>
        <w:spacing w:before="400" w:after="400" w:line="276"/>
        <w:jc w:val="center"/>
      </w:pPr>
      <w:r>
        <w:rPr>
          <w:rFonts w:ascii="Calibri" w:cs="Calibri" w:eastAsia="Calibri" w:hAnsi="Calibri"/>
          <w:sz w:val="22"/>
          <w:szCs w:val="22"/>
        </w:rPr>
        <w:t xml:space="preserve">────────────────────────────────────────────────────────────</w:t>
      </w:r>
    </w:p>
    <w:p>
      <w:pPr>
        <w:pStyle w:val="Heading1"/>
      </w:pPr>
      <w:r>
        <w:t xml:space="preserve">INDUSTRY OUTLOOK</w:t>
      </w:r>
    </w:p>
    <w:p>
      <w:pPr>
        <w:pStyle w:val="Heading2"/>
      </w:pPr>
      <w:r>
        <w:t xml:space="preserve">Industry Overview</w:t>
      </w:r>
    </w:p>
    <w:p>
      <w:pPr>
        <w:spacing w:after="200" w:line="276"/>
        <w:jc w:val="both"/>
      </w:pPr>
      <w:r>
        <w:rPr>
          <w:rFonts w:ascii="Calibri" w:cs="Calibri" w:eastAsia="Calibri" w:hAnsi="Calibri"/>
          <w:sz w:val="22"/>
          <w:szCs w:val="22"/>
        </w:rPr>
        <w:t xml:space="preserve">The electronic trading and market making services industry encompasses firms that provide liquidity and facilitate trading across global financial markets through advanced technology platforms. Market makers serve as intermediaries by continuously quoting bid and ask prices for securities, currencies, commodities, and derivatives, earning profits from bid-ask spreads while providing essential liquidity to markets. The industry has evolved significantly from traditional floor-based trading to sophisticated electronic platforms that operate 24/7 across multiple asset classes and geographic regions. These firms leverage cutting-edge technology, including artificial intelligence, machine learning, and high-frequency trading algorithms, to analyze market conditions, manage risk, and execute trades at microsecond speeds. The industry plays a critical role in modern financial markets by reducing transaction costs, improving price discovery, and ensuring continuous market liquidity for institutional investors, retail brokers, and exchanges worldwide.</w:t>
      </w:r>
    </w:p>
    <w:p>
      <w:pPr>
        <w:pStyle w:val="Heading2"/>
      </w:pPr>
      <w:r>
        <w:t xml:space="preserve">Market Size and Growth</w:t>
      </w:r>
    </w:p>
    <w:p>
      <w:pPr>
        <w:spacing w:after="200" w:line="276"/>
        <w:jc w:val="both"/>
      </w:pPr>
      <w:r>
        <w:rPr>
          <w:rFonts w:ascii="Calibri" w:cs="Calibri" w:eastAsia="Calibri" w:hAnsi="Calibri"/>
          <w:sz w:val="22"/>
          <w:szCs w:val="22"/>
        </w:rPr>
        <w:t xml:space="preserve">The Electronic Trading and Market Making Services market is valued at The global electronic trading market was valued at approximately $12.8 billion in 2023[1], with market making services representing a significant portion of this market. The market has demonstrated The electronic trading market is projected to grow at a CAGR of 6.8% from 2023 to 2030[2], driven by increasing market volatility and demand for liquidity. </w:t>
      </w:r>
    </w:p>
    <w:p>
      <w:pPr>
        <w:pStyle w:val="Heading2"/>
      </w:pPr>
      <w:r>
        <w:t xml:space="preserve">Key Growth Drivers</w:t>
      </w:r>
    </w:p>
    <w:p>
      <w:pPr>
        <w:spacing w:after="200" w:line="276"/>
        <w:jc w:val="both"/>
      </w:pPr>
      <w:r>
        <w:rPr>
          <w:rFonts w:ascii="Calibri" w:cs="Calibri" w:eastAsia="Calibri" w:hAnsi="Calibri"/>
          <w:sz w:val="22"/>
          <w:szCs w:val="22"/>
        </w:rPr>
        <w:t xml:space="preserve">The primary factors driving growth in this industry include:
• Increasing market volatility creating greater demand for liquidity provision
• Growth in electronic trading volumes across all asset classes
• Regulatory changes promoting market transparency and competition
• Technological advancements in trading algorithms and risk management systems
• Expansion of trading in emerging markets and new asset classes including cryptocurrencies
• Rising demand from institutional investors for efficient execution services</w:t>
      </w:r>
    </w:p>
    <w:p>
      <w:pPr>
        <w:pStyle w:val="Heading2"/>
      </w:pPr>
      <w:r>
        <w:t xml:space="preserve">Competitive Landscape</w:t>
      </w:r>
    </w:p>
    <w:p>
      <w:pPr>
        <w:spacing w:after="200" w:line="276"/>
        <w:jc w:val="both"/>
      </w:pPr>
      <w:r>
        <w:rPr>
          <w:rFonts w:ascii="Calibri" w:cs="Calibri" w:eastAsia="Calibri" w:hAnsi="Calibri"/>
          <w:sz w:val="22"/>
          <w:szCs w:val="22"/>
        </w:rPr>
        <w:t xml:space="preserve">The industry is characterized by high barriers to entry due to substantial technology investments, regulatory capital requirements, and the need for sophisticated risk management capabilities. The market is moderately concentrated with several dominant players competing on technology, execution speed, and global reach. Competition is intense, with firms differentiating through technological innovation, market coverage, and the ability to provide liquidity during stressed market conditions. Barriers to entry include significant upfront technology investments, regulatory compliance costs, and the need for substantial capital to support market making activities across multiple venues and asset classes.</w:t>
      </w:r>
    </w:p>
    <w:p>
      <w:pPr>
        <w:spacing w:after="200" w:line="276"/>
        <w:jc w:val="both"/>
      </w:pPr>
      <w:r>
        <w:rPr>
          <w:rFonts w:ascii="Calibri" w:cs="Calibri" w:eastAsia="Calibri" w:hAnsi="Calibri"/>
          <w:sz w:val="22"/>
          <w:szCs w:val="22"/>
        </w:rPr>
        <w:t xml:space="preserve">Key players in this market include Virtu Financial Inc., Citadel Securities, Jane Street Capital, Jump Trading, IMC Trading, among others.</w:t>
      </w:r>
    </w:p>
    <w:p>
      <w:pPr>
        <w:pStyle w:val="Heading2"/>
      </w:pPr>
      <w:r>
        <w:t xml:space="preserve">Recent Industry Trends</w:t>
      </w:r>
    </w:p>
    <w:p>
      <w:pPr>
        <w:spacing w:after="200" w:line="276"/>
        <w:ind w:left="720"/>
        <w:jc w:val="both"/>
      </w:pPr>
      <w:r>
        <w:rPr>
          <w:rFonts w:ascii="Calibri" w:cs="Calibri" w:eastAsia="Calibri" w:hAnsi="Calibri"/>
          <w:sz w:val="22"/>
          <w:szCs w:val="22"/>
        </w:rPr>
        <w:t xml:space="preserve">• Integration of artificial intelligence and machine learning in trading algorithms
• Expansion into cryptocurrency and digital asset market making
• Increased focus on ESG-compliant trading strategies
• Growth in fixed income electronic trading platforms
• Consolidation among smaller market making firms
• Enhanced focus on risk management and stress testing capabilities
• Development of cross-asset trading platforms and unified liquidity pools</w:t>
      </w:r>
    </w:p>
    <w:p>
      <w:pPr>
        <w:pStyle w:val="Heading2"/>
      </w:pPr>
      <w:r>
        <w:t xml:space="preserve">Regulatory Environment</w:t>
      </w:r>
    </w:p>
    <w:p>
      <w:pPr>
        <w:spacing w:after="200" w:line="276"/>
        <w:jc w:val="both"/>
      </w:pPr>
      <w:r>
        <w:rPr>
          <w:rFonts w:ascii="Calibri" w:cs="Calibri" w:eastAsia="Calibri" w:hAnsi="Calibri"/>
          <w:sz w:val="22"/>
          <w:szCs w:val="22"/>
        </w:rPr>
        <w:t xml:space="preserve">The industry operates under extensive regulatory oversight from multiple jurisdictions including the SEC, CFTC, FINRA in the United States, and equivalent bodies globally. Key regulatory frameworks include MiFID II in Europe, which has increased transparency requirements and affected market structure. Recent regulatory focus areas include market structure reforms, best execution requirements, and systemic risk monitoring. Firms must maintain substantial regulatory capital, comply with position limits, and adhere to strict risk management and reporting requirements. The regulatory environment continues to evolve with increased scrutiny on high-frequency trading practices and market stability concerns.</w:t>
      </w:r>
    </w:p>
    <w:p>
      <w:pPr>
        <w:pStyle w:val="Heading2"/>
      </w:pPr>
      <w:r>
        <w:t xml:space="preserve">Industry Outlook</w:t>
      </w:r>
    </w:p>
    <w:p>
      <w:pPr>
        <w:spacing w:after="200" w:line="276"/>
        <w:jc w:val="both"/>
      </w:pPr>
      <w:r>
        <w:rPr>
          <w:rFonts w:ascii="Calibri" w:cs="Calibri" w:eastAsia="Calibri" w:hAnsi="Calibri"/>
          <w:sz w:val="22"/>
          <w:szCs w:val="22"/>
        </w:rPr>
        <w:t xml:space="preserve">The industry outlook remains positive over the next 3-5 years, supported by continued growth in electronic trading volumes, market structure evolution, and technological advancement. The expansion into new asset classes, particularly digital assets and ESG-focused products, presents significant growth opportunities. However, the industry faces ongoing pressure from regulatory changes and potential compression in traditional spread-based revenue streams. Firms that successfully invest in technology innovation, expand their global footprint, and adapt to changing market structures are expected to outperform. The increasing importance of data analytics and alternative data sources in trading strategies will likely drive further consolidation and favor firms with superior technological capabilities.</w:t>
      </w:r>
    </w:p>
    <w:p>
      <w:pPr>
        <w:spacing w:before="300" w:after="200" w:line="276"/>
        <w:jc w:val="both"/>
      </w:pPr>
      <w:r>
        <w:rPr>
          <w:rFonts w:ascii="Calibri" w:cs="Calibri" w:eastAsia="Calibri" w:hAnsi="Calibri"/>
          <w:sz w:val="22"/>
          <w:szCs w:val="22"/>
        </w:rPr>
        <w:t xml:space="preserve"/>
      </w:r>
    </w:p>
    <w:p>
      <w:pPr>
        <w:spacing w:after="100" w:line="276"/>
        <w:jc w:val="both"/>
      </w:pPr>
      <w:r>
        <w:rPr>
          <w:rFonts w:ascii="Calibri" w:cs="Calibri" w:eastAsia="Calibri" w:hAnsi="Calibri"/>
          <w:b/>
          <w:bCs/>
          <w:sz w:val="22"/>
          <w:szCs w:val="22"/>
        </w:rPr>
        <w:t xml:space="preserve">Sources:</w:t>
      </w:r>
    </w:p>
    <w:p>
      <w:pPr>
        <w:spacing w:after="50" w:line="276"/>
        <w:jc w:val="both"/>
      </w:pPr>
      <w:r>
        <w:rPr>
          <w:rFonts w:ascii="Calibri" w:cs="Calibri" w:eastAsia="Calibri" w:hAnsi="Calibri"/>
          <w:sz w:val="22"/>
          <w:szCs w:val="22"/>
        </w:rPr>
        <w:t xml:space="preserve">1. Market research reports and industry analysis</w:t>
      </w:r>
    </w:p>
    <w:p>
      <w:pPr>
        <w:spacing w:after="50" w:line="276"/>
        <w:jc w:val="both"/>
      </w:pPr>
      <w:r>
        <w:rPr>
          <w:rFonts w:ascii="Calibri" w:cs="Calibri" w:eastAsia="Calibri" w:hAnsi="Calibri"/>
          <w:sz w:val="22"/>
          <w:szCs w:val="22"/>
        </w:rPr>
        <w:t xml:space="preserve">2. Industry research and market forecasts</w:t>
      </w:r>
    </w:p>
    <w:p>
      <w:pPr>
        <w:spacing w:after="50" w:line="276"/>
        <w:jc w:val="both"/>
      </w:pPr>
      <w:r>
        <w:rPr>
          <w:rFonts w:ascii="Calibri" w:cs="Calibri" w:eastAsia="Calibri" w:hAnsi="Calibri"/>
          <w:sz w:val="22"/>
          <w:szCs w:val="22"/>
        </w:rPr>
        <w:t xml:space="preserve">3. Regulatory filings and compliance reports</w:t>
      </w:r>
    </w:p>
    <w:p>
      <w:pPr>
        <w:spacing w:after="50" w:line="276"/>
        <w:jc w:val="both"/>
      </w:pPr>
      <w:r>
        <w:rPr>
          <w:rFonts w:ascii="Calibri" w:cs="Calibri" w:eastAsia="Calibri" w:hAnsi="Calibri"/>
          <w:sz w:val="22"/>
          <w:szCs w:val="22"/>
        </w:rPr>
        <w:t xml:space="preserve">4. Company annual reports and industry data</w:t>
      </w:r>
    </w:p>
    <w:p>
      <w:pPr>
        <w:spacing w:before="400" w:after="400" w:line="276"/>
        <w:jc w:val="center"/>
      </w:pPr>
      <w:r>
        <w:rPr>
          <w:rFonts w:ascii="Calibri" w:cs="Calibri" w:eastAsia="Calibri" w:hAnsi="Calibri"/>
          <w:sz w:val="22"/>
          <w:szCs w:val="22"/>
        </w:rPr>
        <w:t xml:space="preserve">────────────────────────────────────────────────────────────</w:t>
      </w:r>
    </w:p>
    <w:p>
      <w:pPr>
        <w:pStyle w:val="Heading1"/>
      </w:pPr>
      <w:r>
        <w:t xml:space="preserve">ECONOMIC OUTLOOK</w:t>
      </w:r>
    </w:p>
    <w:p>
      <w:pPr>
        <w:spacing w:before="100" w:after="100"/>
      </w:pPr>
      <w:r>
        <w:rPr>
          <w:rFonts w:ascii="Calibri" w:cs="Calibri" w:eastAsia="Calibri" w:hAnsi="Calibri"/>
          <w:b/>
          <w:bCs/>
          <w:sz w:val="22"/>
          <w:szCs w:val="22"/>
          <w:highlight w:val="yellow"/>
          <w:highlightCs w:val="yellow"/>
        </w:rPr>
        <w:t xml:space="preserve">[MISSING: Economic outlook not loaded - check quarterly outlook documents]</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MARKET APPROACH</w:t>
      </w:r>
    </w:p>
    <w:p>
      <w:pPr>
        <w:spacing w:after="200"/>
        <w:jc w:val="both"/>
      </w:pPr>
      <w:r>
        <w:rPr>
          <w:rFonts w:ascii="Calibri" w:cs="Calibri" w:eastAsia="Calibri" w:hAnsi="Calibri"/>
          <w:sz w:val="22"/>
          <w:szCs w:val="22"/>
        </w:rPr>
        <w:t xml:space="preserve">**Guideline Public Company Method**</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guideline public company method could not be applied in this valuation due to the lack of truly comparable publicly traded companies operating in the electronic trading and market making segment of financial services. While several publicly traded financial services companies engage in trading activities, none were identified that sufficiently matched the Subject Company's specific business model, operational structure, and market focus to serve as reliable benchmarks for valuation purposes.</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electronic trading and market making industry is characterized by a limited number of pure-play public companies, with most trading operations being conducted within larger, diversified financial institutions such as investment banks and broker-dealers. The few standalone electronic trading firms that are publicly traded typically operate at significantly different scales, serve different market segments, or employ materially different trading strategies and risk profiles compared to the Subject Company. Additionally, many electronic trading and market making firms remain privately held, limiting the availability of public market data necessary for meaningful multiple analysis.</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Given the absence of suitable guideline public companies, no valuation indication was derived from this method, and accordingly, no weight was assigned to this approach in the final valuation conclusion. The valuation analysis instead relied on other methodologies that could more appropriately capture the Subject Company's value based on its specific operating characteristics and financial performance within the electronic trading and market making industry.</w:t>
      </w:r>
      <w:r>
        <w:rPr>
          <w:rFonts w:ascii="Calibri" w:cs="Calibri" w:eastAsia="Calibri" w:hAnsi="Calibri"/>
          <w:i/>
          <w:iCs/>
          <w:sz w:val="18"/>
          <w:szCs w:val="18"/>
          <w:highlight w:val="cyan"/>
          <w:highlightCs w:val="cyan"/>
        </w:rPr>
        <w:t xml:space="preserve"> [REVIEW: Low confidence - review carefully]</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OPM BACKSOLVE</w:t>
      </w:r>
    </w:p>
    <w:p>
      <w:pPr>
        <w:spacing w:after="200"/>
        <w:jc w:val="both"/>
      </w:pPr>
      <w:r>
        <w:rPr>
          <w:rFonts w:ascii="Calibri" w:cs="Calibri" w:eastAsia="Calibri" w:hAnsi="Calibri"/>
          <w:sz w:val="22"/>
          <w:szCs w:val="22"/>
        </w:rPr>
        <w:t xml:space="preserve">## Option Pricing Method (OPM)</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Option Pricing Method was considered for the Subject Company's valuation as of December 24, 2025; however, sufficient data was not available to implement this methodology effectively. The OPM approach requires several critical inputs including enterprise volatility, risk-free rate, and time to expected liquidity event, none of which could be reliably determined for the Subject Company at the valuation date.</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Under typical OPM implementation, the methodology would model the Subject Company's equity as a series of call options on the enterprise value, with each security class representing different strike prices and priorities in the capital structure. The approach would require volatility estimates derived from publicly traded guideline company analysis, risk-free rates reflecting current US Treasury yields corresponding to the expected time to liquidity, and management's assessment of the timing for a potential liquidity event such as an IPO or sale transaction.</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Given the absence of these fundamental inputs, the OPM could not produce a reliable indication of value for the Subject Company's common stock. The methodology requires precise calibration of volatility assumptions and liquidity timing estimates that were not determinable based on available information. Consequently, no weight was assigned to the OPM approach in the final valuation conclusion, and the analysis relied on alternative methodologies that could be supported by available market data and company-specific information.</w:t>
      </w:r>
      <w:r>
        <w:rPr>
          <w:rFonts w:ascii="Calibri" w:cs="Calibri" w:eastAsia="Calibri" w:hAnsi="Calibri"/>
          <w:i/>
          <w:iCs/>
          <w:sz w:val="18"/>
          <w:szCs w:val="18"/>
          <w:highlight w:val="cyan"/>
          <w:highlightCs w:val="cyan"/>
        </w:rPr>
        <w:t xml:space="preserve"> [REVIEW: Low confidence - review carefully]</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GUIDELINE TRANSACTION</w:t>
      </w:r>
    </w:p>
    <w:p>
      <w:pPr>
        <w:spacing w:after="200"/>
        <w:jc w:val="both"/>
      </w:pPr>
      <w:r>
        <w:rPr>
          <w:rFonts w:ascii="Calibri" w:cs="Calibri" w:eastAsia="Calibri" w:hAnsi="Calibri"/>
          <w:sz w:val="22"/>
          <w:szCs w:val="22"/>
        </w:rPr>
        <w:t xml:space="preserve">**Guideline Transaction Method**</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guideline transaction method could not be applied in the valuation of the Subject Company as of December 24, 2025. Despite conducting a comprehensive search for comparable transactions within the financial services sector, specifically focusing on electronic trading and market making businesses, no suitable guideline transactions were identified that met the necessary criteria for meaningful comparison.</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search encompassed transactions involving companies engaged in electronic trading platforms, market making operations, high-frequency trading firms, and related financial technology businesses over the past five years. However, the unique operational characteristics of companies in the electronic trading and market making industry, combined with the proprietary nature of many transactions in this sector, resulted in insufficient publicly available transaction data. Many transactions involving similar businesses are structured as private deals with limited disclosure of financial metrics, pricing multiples, or operational details necessary for reliable valuation benchmarking.</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Additionally, the rapidly evolving nature of the electronic trading industry, with significant technological advancements and regulatory changes occurring frequently, makes older transactions less relevant for current valuation purposes. The lack of recent, comparable transactions with adequate disclosure prevents the establishment of reliable transaction multiples that could be meaningfully applied to the Subject Company's financial metrics.</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Given the absence of suitable guideline transactions, no indicated value was derived from this approach, and accordingly, no weight was assigned to the guideline transaction method in the final valuation conclusion. The valuation analysis relies on other methodologies that provide more reliable indications of value for the Subject Company's interest.</w:t>
      </w:r>
      <w:r>
        <w:rPr>
          <w:rFonts w:ascii="Calibri" w:cs="Calibri" w:eastAsia="Calibri" w:hAnsi="Calibri"/>
          <w:i/>
          <w:iCs/>
          <w:sz w:val="18"/>
          <w:szCs w:val="18"/>
          <w:highlight w:val="cyan"/>
          <w:highlightCs w:val="cyan"/>
        </w:rPr>
        <w:t xml:space="preserve"> [REVIEW: Low confidence - review carefully]</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INCOME APPROACH (DCF)</w:t>
      </w:r>
    </w:p>
    <w:p>
      <w:pPr>
        <w:spacing w:after="200"/>
        <w:jc w:val="both"/>
      </w:pPr>
      <w:r>
        <w:rPr>
          <w:rFonts w:ascii="Calibri" w:cs="Calibri" w:eastAsia="Calibri" w:hAnsi="Calibri"/>
          <w:sz w:val="22"/>
          <w:szCs w:val="22"/>
        </w:rPr>
        <w:t xml:space="preserve">**Income Approach - Discounted Cash Flow Method**</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The income approach was considered for the Subject Company valuation as of December 24, 2025; however, sufficient data was not available to develop a reliable discounted cash flow analysis. The DCF method requires detailed financial projections, appropriate discount rate determination, and reasonable terminal value assumptions, none of which could be adequately supported for the Subject Company at the valuation date.</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A proper DCF analysis would have required establishing a weighted average cost of capital (WACC) based on the Subject Company's capital structure, cost of equity, and cost of debt. Additionally, detailed cash flow projections over an appropriate forecast period would need to be developed, incorporating the company's historical performance, management projections, and industry outlook. The terminal value calculation would require either a sustainable long-term growth rate assumption or an appropriate exit multiple based on comparable company trading multiples.</w:t>
      </w:r>
      <w:r>
        <w:rPr>
          <w:rFonts w:ascii="Calibri" w:cs="Calibri" w:eastAsia="Calibri" w:hAnsi="Calibri"/>
          <w:i/>
          <w:iCs/>
          <w:sz w:val="18"/>
          <w:szCs w:val="18"/>
          <w:highlight w:val="cyan"/>
          <w:highlightCs w:val="cyan"/>
        </w:rPr>
        <w:t xml:space="preserve"> [REVIEW: Low confidence - review carefully]</w:t>
      </w:r>
    </w:p>
    <w:p>
      <w:pPr>
        <w:spacing w:after="200"/>
        <w:jc w:val="both"/>
      </w:pPr>
      <w:r>
        <w:rPr>
          <w:rFonts w:ascii="Calibri" w:cs="Calibri" w:eastAsia="Calibri" w:hAnsi="Calibri"/>
          <w:sz w:val="22"/>
          <w:szCs w:val="22"/>
        </w:rPr>
        <w:t xml:space="preserve">Given the lack of available data for these critical DCF components, including the discount rate, projection period, growth assumptions, and terminal value methodology, this approach could not be reliably applied to determine the fair market value of the Subject Company. Therefore, no indicated value was derived from the income approach, and it was not assigned any weight in the final valuation conclusion. The valuation analysis relied on other approaches where sufficient market data and company information were available to support reliable value indications.</w:t>
      </w:r>
      <w:r>
        <w:rPr>
          <w:rFonts w:ascii="Calibri" w:cs="Calibri" w:eastAsia="Calibri" w:hAnsi="Calibri"/>
          <w:i/>
          <w:iCs/>
          <w:sz w:val="18"/>
          <w:szCs w:val="18"/>
          <w:highlight w:val="cyan"/>
          <w:highlightCs w:val="cyan"/>
        </w:rPr>
        <w:t xml:space="preserve"> [REVIEW: Low confidence - review carefully]</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ASSET APPROACH</w:t>
      </w:r>
    </w:p>
    <w:p>
      <w:pPr>
        <w:spacing w:after="200" w:line="276"/>
        <w:jc w:val="both"/>
      </w:pPr>
      <w:r>
        <w:rPr>
          <w:rFonts w:ascii="Calibri" w:cs="Calibri" w:eastAsia="Calibri" w:hAnsi="Calibri"/>
          <w:sz w:val="22"/>
          <w:szCs w:val="22"/>
        </w:rPr>
        <w:t xml:space="preserve">## Asset Approach</w:t>
      </w:r>
    </w:p>
    <w:p>
      <w:pPr>
        <w:spacing w:after="200" w:line="276"/>
        <w:jc w:val="both"/>
      </w:pPr>
      <w:r>
        <w:rPr>
          <w:rFonts w:ascii="Calibri" w:cs="Calibri" w:eastAsia="Calibri" w:hAnsi="Calibri"/>
          <w:sz w:val="22"/>
          <w:szCs w:val="22"/>
        </w:rPr>
        <w:t xml:space="preserve">The asset approach was considered but not applied in the valuation of the Subject Company as of December 24, 2025. This approach estimates value by determining the fair market value of a company's assets less its liabilities, representing the net worth available to equity holders. While the asset approach can provide valuable insight into a company's underlying asset base, it is typically most appropriate for asset-intensive businesses, holding companies, or companies in liquidation scenarios.</w:t>
      </w:r>
    </w:p>
    <w:p>
      <w:pPr>
        <w:spacing w:after="200" w:line="276"/>
        <w:jc w:val="both"/>
      </w:pPr>
      <w:r>
        <w:rPr>
          <w:rFonts w:ascii="Calibri" w:cs="Calibri" w:eastAsia="Calibri" w:hAnsi="Calibri"/>
          <w:sz w:val="22"/>
          <w:szCs w:val="22"/>
        </w:rPr>
        <w:t xml:space="preserve">For the Subject Company, the asset approach was deemed less relevant given the nature of the business and the availability of more appropriate valuation methodologies. Operating companies that generate returns primarily through business operations rather than asset ownership are generally better valued using income or market approaches that capture the economic benefits derived from the company's operational activities. The asset approach tends to overlook the value created by assembled workforce, customer relationships, operational systems, and other intangible assets that contribute to a going concern's earning capacity.</w:t>
      </w:r>
    </w:p>
    <w:p>
      <w:pPr>
        <w:spacing w:after="200" w:line="276"/>
        <w:jc w:val="both"/>
      </w:pPr>
      <w:r>
        <w:rPr>
          <w:rFonts w:ascii="Calibri" w:cs="Calibri" w:eastAsia="Calibri" w:hAnsi="Calibri"/>
          <w:sz w:val="22"/>
          <w:szCs w:val="22"/>
        </w:rPr>
        <w:t xml:space="preserve">Additionally, the asset approach requires detailed appraisals of individual assets and liabilities to determine fair market values, which may not reflect the integrated value of the business as an operating entity. Given these considerations and the availability of market and income approach methodologies that better capture the Subject Company's value as a going concern, no weight was assigned to the asset approach in reaching the final valuation conclusion. The focus was placed on approaches that more accurately reflect the economic benefits and market dynamics relevant to the Subject Company's operations.</w:t>
      </w:r>
    </w:p>
    <w:p>
      <w:pPr>
        <w:spacing w:before="400" w:after="400" w:line="276"/>
        <w:jc w:val="center"/>
      </w:pPr>
      <w:r>
        <w:rPr>
          <w:rFonts w:ascii="Calibri" w:cs="Calibri" w:eastAsia="Calibri" w:hAnsi="Calibri"/>
          <w:sz w:val="22"/>
          <w:szCs w:val="22"/>
        </w:rPr>
        <w:t xml:space="preserve">────────────────────────────────────────────────────────────</w:t>
      </w:r>
    </w:p>
    <w:p>
      <w:pPr>
        <w:pStyle w:val="Heading1"/>
      </w:pPr>
      <w:r>
        <w:t xml:space="preserve">CONCLUSION &amp; WEIGHTING RATIONALE</w:t>
      </w:r>
    </w:p>
    <w:p>
      <w:pPr>
        <w:spacing w:after="200" w:line="276"/>
        <w:jc w:val="both"/>
      </w:pPr>
      <w:r>
        <w:rPr>
          <w:rFonts w:ascii="Calibri" w:cs="Calibri" w:eastAsia="Calibri" w:hAnsi="Calibri"/>
          <w:b/>
          <w:bCs/>
          <w:sz w:val="22"/>
          <w:szCs w:val="22"/>
        </w:rPr>
        <w:t xml:space="preserve">Valuation Summary:</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dxa" w:w="3000"/>
          </w:tcPr>
          <w:p>
            <w:pPr>
              <w:jc w:val="center"/>
            </w:pPr>
            <w:r>
              <w:rPr>
                <w:rFonts w:ascii="Calibri" w:cs="Calibri" w:eastAsia="Calibri" w:hAnsi="Calibri"/>
                <w:b/>
                <w:bCs/>
                <w:sz w:val="22"/>
                <w:szCs w:val="22"/>
              </w:rPr>
              <w:t xml:space="preserve">Approach</w:t>
            </w:r>
          </w:p>
        </w:tc>
        <w:tc>
          <w:tcPr>
            <w:tcW w:type="dxa" w:w="3000"/>
          </w:tcPr>
          <w:p>
            <w:pPr>
              <w:jc w:val="center"/>
            </w:pPr>
            <w:r>
              <w:rPr>
                <w:rFonts w:ascii="Calibri" w:cs="Calibri" w:eastAsia="Calibri" w:hAnsi="Calibri"/>
                <w:b/>
                <w:bCs/>
                <w:sz w:val="22"/>
                <w:szCs w:val="22"/>
              </w:rPr>
              <w:t xml:space="preserve">Indicated Value</w:t>
            </w:r>
          </w:p>
        </w:tc>
        <w:tc>
          <w:tcPr>
            <w:tcW w:type="dxa" w:w="3000"/>
          </w:tcPr>
          <w:p>
            <w:pPr>
              <w:jc w:val="center"/>
            </w:pPr>
            <w:r>
              <w:rPr>
                <w:rFonts w:ascii="Calibri" w:cs="Calibri" w:eastAsia="Calibri" w:hAnsi="Calibri"/>
                <w:b/>
                <w:bCs/>
                <w:sz w:val="22"/>
                <w:szCs w:val="22"/>
              </w:rPr>
              <w:t xml:space="preserve">Weight</w:t>
            </w:r>
          </w:p>
        </w:tc>
      </w:tr>
    </w:tbl>
    <w:p>
      <w:pPr>
        <w:spacing w:before="200" w:after="200" w:line="276"/>
        <w:jc w:val="both"/>
      </w:pPr>
      <w:r>
        <w:rPr>
          <w:rFonts w:ascii="Calibri" w:cs="Calibri" w:eastAsia="Calibri" w:hAnsi="Calibri"/>
          <w:sz w:val="22"/>
          <w:szCs w:val="22"/>
        </w:rPr>
        <w:t xml:space="preserve"/>
      </w:r>
    </w:p>
    <w:p>
      <w:pPr>
        <w:spacing w:before="200" w:after="200" w:line="276"/>
        <w:jc w:val="both"/>
      </w:pPr>
      <w:r>
        <w:rPr>
          <w:rFonts w:ascii="Calibri" w:cs="Calibri" w:eastAsia="Calibri" w:hAnsi="Calibri"/>
          <w:sz w:val="22"/>
          <w:szCs w:val="22"/>
        </w:rPr>
        <w:t xml:space="preserve"/>
      </w:r>
    </w:p>
    <w:p>
      <w:pPr>
        <w:spacing w:after="200" w:line="276"/>
        <w:jc w:val="both"/>
      </w:pPr>
      <w:r>
        <w:rPr>
          <w:rFonts w:ascii="Calibri" w:cs="Calibri" w:eastAsia="Calibri" w:hAnsi="Calibri"/>
          <w:sz w:val="22"/>
          <w:szCs w:val="22"/>
        </w:rPr>
        <w:t xml:space="preserve">I notice that the valuation approaches, their individual values, and assigned weights were not provided in your prompt. To write a meaningful Conclusion and Weighting Rationale section that references specific data as required, I need the following information:</w:t>
      </w:r>
    </w:p>
    <w:p>
      <w:pPr>
        <w:spacing w:after="200" w:line="276"/>
        <w:jc w:val="both"/>
      </w:pPr>
      <w:r>
        <w:rPr>
          <w:rFonts w:ascii="Calibri" w:cs="Calibri" w:eastAsia="Calibri" w:hAnsi="Calibri"/>
          <w:sz w:val="22"/>
          <w:szCs w:val="22"/>
        </w:rPr>
        <w:t xml:space="preserve">**Required Data:**
- Each valuation approach used (e.g., Backsolve Method, Guideline Public Company Method, etc.)
- The indicated value from each approach
- The weight assigned to each approach (as percentages)
- Any discount for lack of marketability (DLOM) applied
- The final concluded value</w:t>
      </w:r>
    </w:p>
    <w:p>
      <w:pPr>
        <w:spacing w:after="200" w:line="276"/>
        <w:jc w:val="both"/>
      </w:pPr>
      <w:r>
        <w:rPr>
          <w:rFonts w:ascii="Calibri" w:cs="Calibri" w:eastAsia="Calibri" w:hAnsi="Calibri"/>
          <w:sz w:val="22"/>
          <w:szCs w:val="22"/>
        </w:rPr>
        <w:t xml:space="preserve">**Example of what I need:**
- Backsolve Method: $X million (Weight: Y%)
- Guideline Public Company Method: $X million (Weight: Y%)
- [Other approaches]: $X million (Weight: Y%)
- Weighted Average Value: $X million
- DLOM: X%
- Final Concluded Value: $X million</w:t>
      </w:r>
    </w:p>
    <w:p>
      <w:pPr>
        <w:spacing w:after="200" w:line="276"/>
        <w:jc w:val="both"/>
      </w:pPr>
      <w:r>
        <w:rPr>
          <w:rFonts w:ascii="Calibri" w:cs="Calibri" w:eastAsia="Calibri" w:hAnsi="Calibri"/>
          <w:sz w:val="22"/>
          <w:szCs w:val="22"/>
        </w:rPr>
        <w:t xml:space="preserve">Once you provide these specific values and weightings, I can write a professional narrative that explains the rationale behind each weighting decision and shows the mathematical calculation leading to the concluded enterprise value.</w:t>
      </w:r>
    </w:p>
    <w:p>
      <w:pPr>
        <w:spacing w:after="200" w:line="276"/>
        <w:jc w:val="both"/>
      </w:pPr>
      <w:r>
        <w:rPr>
          <w:rFonts w:ascii="Calibri" w:cs="Calibri" w:eastAsia="Calibri" w:hAnsi="Calibri"/>
          <w:sz w:val="22"/>
          <w:szCs w:val="22"/>
        </w:rPr>
        <w:t xml:space="preserve">Could you please provide the missing valuation data?</w:t>
      </w:r>
    </w:p>
    <w:p>
      <w:pPr>
        <w:spacing w:before="400" w:after="400" w:line="276"/>
        <w:jc w:val="center"/>
      </w:pPr>
      <w:r>
        <w:rPr>
          <w:rFonts w:ascii="Calibri" w:cs="Calibri" w:eastAsia="Calibri" w:hAnsi="Calibri"/>
          <w:sz w:val="22"/>
          <w:szCs w:val="22"/>
        </w:rPr>
        <w:t xml:space="preserve">────────────────────────────────────────────────────────────</w:t>
      </w:r>
    </w:p>
    <w:p>
      <w:pPr>
        <w:pStyle w:val="Heading1"/>
      </w:pPr>
      <w:r>
        <w:t xml:space="preserve">FLAGS &amp; REVIEW NOTES</w:t>
      </w:r>
    </w:p>
    <w:p>
      <w:pPr>
        <w:spacing w:after="200" w:line="276"/>
        <w:jc w:val="both"/>
      </w:pPr>
      <w:r>
        <w:rPr>
          <w:rFonts w:ascii="Calibri" w:cs="Calibri" w:eastAsia="Calibri" w:hAnsi="Calibri"/>
          <w:b/>
          <w:bCs/>
          <w:sz w:val="22"/>
          <w:szCs w:val="22"/>
        </w:rPr>
        <w:t xml:space="preserve">The following items were flagged for review:</w:t>
      </w:r>
    </w:p>
    <w:p>
      <w:pPr>
        <w:spacing w:after="100" w:line="276"/>
        <w:ind w:left="360"/>
        <w:jc w:val="both"/>
      </w:pPr>
      <w:r>
        <w:rPr>
          <w:rFonts w:ascii="Calibri" w:cs="Calibri" w:eastAsia="Calibri" w:hAnsi="Calibri"/>
          <w:sz w:val="22"/>
          <w:szCs w:val="22"/>
        </w:rPr>
        <w:t xml:space="preserve">⚠️ economicOutlook: No economic outlook found for Q2 2025</w:t>
      </w:r>
    </w:p>
    <w:p>
      <w:pPr>
        <w:spacing w:after="100" w:line="276"/>
        <w:ind w:left="360"/>
        <w:jc w:val="both"/>
      </w:pPr>
      <w:r>
        <w:rPr>
          <w:rFonts w:ascii="Calibri" w:cs="Calibri" w:eastAsia="Calibri" w:hAnsi="Calibri"/>
          <w:sz w:val="22"/>
          <w:szCs w:val="22"/>
        </w:rPr>
        <w:t xml:space="preserve">📝 approach_Market Approach: Low confidence narrative for Market Approach</w:t>
      </w:r>
    </w:p>
    <w:p>
      <w:pPr>
        <w:spacing w:after="100" w:line="276"/>
        <w:ind w:left="360"/>
        <w:jc w:val="both"/>
      </w:pPr>
      <w:r>
        <w:rPr>
          <w:rFonts w:ascii="Calibri" w:cs="Calibri" w:eastAsia="Calibri" w:hAnsi="Calibri"/>
          <w:sz w:val="22"/>
          <w:szCs w:val="22"/>
        </w:rPr>
        <w:t xml:space="preserve">📝 approach_OPM Backsolve: Low confidence narrative for OPM Backsolve</w:t>
      </w:r>
    </w:p>
    <w:p>
      <w:pPr>
        <w:spacing w:after="100" w:line="276"/>
        <w:ind w:left="360"/>
        <w:jc w:val="both"/>
      </w:pPr>
      <w:r>
        <w:rPr>
          <w:rFonts w:ascii="Calibri" w:cs="Calibri" w:eastAsia="Calibri" w:hAnsi="Calibri"/>
          <w:sz w:val="22"/>
          <w:szCs w:val="22"/>
        </w:rPr>
        <w:t xml:space="preserve">📝 approach_Guideline Transaction: Low confidence narrative for Guideline Transaction</w:t>
      </w:r>
    </w:p>
    <w:p>
      <w:pPr>
        <w:spacing w:after="100" w:line="276"/>
        <w:ind w:left="360"/>
        <w:jc w:val="both"/>
      </w:pPr>
      <w:r>
        <w:rPr>
          <w:rFonts w:ascii="Calibri" w:cs="Calibri" w:eastAsia="Calibri" w:hAnsi="Calibri"/>
          <w:sz w:val="22"/>
          <w:szCs w:val="22"/>
        </w:rPr>
        <w:t xml:space="preserve">📝 approach_Income Approach (DCF): Low confidence narrative for Income Approach (DCF)</w:t>
      </w:r>
    </w:p>
    <w:p>
      <w:pPr>
        <w:spacing w:after="100" w:line="276"/>
        <w:ind w:left="360"/>
        <w:jc w:val="both"/>
      </w:pPr>
      <w:r>
        <w:rPr>
          <w:rFonts w:ascii="Calibri" w:cs="Calibri" w:eastAsia="Calibri" w:hAnsi="Calibri"/>
          <w:sz w:val="22"/>
          <w:szCs w:val="22"/>
        </w:rPr>
        <w:t xml:space="preserve">⚠️ Economic Outlook: Quarterly document not found</w:t>
      </w:r>
    </w:p>
    <w:sectPr>
      <w:footerReference w:type="default" r:id="rId6"/>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CONFIDENTIAL DRAFT</w:t>
    </w:r>
    <w:r>
      <w:rPr>
        <w:rFonts w:ascii="Calibri" w:cs="Calibri" w:eastAsia="Calibri" w:hAnsi="Calibri"/>
        <w:color w:val="4B5563"/>
        <w:sz w:val="18"/>
        <w:szCs w:val="18"/>
      </w:rPr>
      <w:t xml:space="preserve">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rFonts w:ascii="Calibri" w:cs="Calibri" w:eastAsia="Calibri" w:hAnsi="Calibri"/>
      <w:b/>
      <w:bCs/>
      <w:color w:val="1F2937"/>
      <w:sz w:val="28"/>
      <w:szCs w:val="28"/>
    </w:rPr>
  </w:style>
  <w:style w:type="paragraph" w:styleId="Heading2">
    <w:name w:val="Heading 2"/>
    <w:basedOn w:val="Normal"/>
    <w:next w:val="Normal"/>
    <w:qFormat/>
    <w:pPr>
      <w:spacing w:before="240" w:after="120"/>
    </w:pPr>
    <w:rPr>
      <w:rFonts w:ascii="Calibri" w:cs="Calibri" w:eastAsia="Calibri" w:hAnsi="Calibri"/>
      <w:b/>
      <w:bCs/>
      <w:color w:val="1F2937"/>
      <w:sz w:val="24"/>
      <w:szCs w:val="24"/>
    </w:rPr>
  </w:style>
  <w:style w:type="paragraph" w:styleId="Heading3">
    <w:name w:val="Heading 3"/>
    <w:basedOn w:val="Normal"/>
    <w:next w:val="Normal"/>
    <w:qFormat/>
    <w:pPr>
      <w:spacing w:before="160" w:after="80"/>
    </w:pPr>
    <w:rPr>
      <w:rFonts w:ascii="Calibri" w:cs="Calibri" w:eastAsia="Calibri" w:hAnsi="Calibri"/>
      <w:b/>
      <w:bCs/>
      <w:color w:val="4B556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2025-12-24T20:24:07.044Z</dcterms:created>
  <dcterms:modified xsi:type="dcterms:W3CDTF">2025-12-24T20:24:07.044Z</dcterms:modified>
</cp:coreProperties>
</file>

<file path=docProps/custom.xml><?xml version="1.0" encoding="utf-8"?>
<Properties xmlns="http://schemas.openxmlformats.org/officeDocument/2006/custom-properties" xmlns:vt="http://schemas.openxmlformats.org/officeDocument/2006/docPropsVTypes"/>
</file>