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720"/>
        <w:jc w:val="center"/>
      </w:pPr>
      <w:r>
        <w:rPr>
          <w:rFonts w:ascii="Arial" w:cs="Arial" w:eastAsia="Arial" w:hAnsi="Arial"/>
          <w:b/>
          <w:bCs/>
          <w:color w:val="1B5E20"/>
          <w:sz w:val="48"/>
          <w:szCs w:val="48"/>
        </w:rPr>
        <w:t xml:space="preserve">Bird Species Observation Analysis</w:t>
      </w:r>
    </w:p>
    <w:p>
      <w:pPr>
        <w:spacing w:after="120" w:before="0"/>
        <w:jc w:val="center"/>
      </w:pPr>
      <w:r>
        <w:rPr>
          <w:rFonts w:ascii="Arial" w:cs="Arial" w:eastAsia="Arial" w:hAnsi="Arial"/>
          <w:color w:val="388E3C"/>
          <w:sz w:val="28"/>
          <w:szCs w:val="28"/>
        </w:rPr>
        <w:t xml:space="preserve">Forest &amp; Grassland Biodiversity Study</w:t>
      </w:r>
    </w:p>
    <w:p>
      <w:pPr>
        <w:spacing w:after="80" w:before="0"/>
        <w:jc w:val="center"/>
      </w:pPr>
      <w:r>
        <w:rPr>
          <w:rFonts w:ascii="Arial" w:cs="Arial" w:eastAsia="Arial" w:hAnsi="Arial"/>
          <w:color w:val="555555"/>
          <w:sz w:val="22"/>
          <w:szCs w:val="22"/>
        </w:rPr>
        <w:t xml:space="preserve">11 Administrative Units | NCRN Bird Monitoring Program | 2018</w:t>
      </w:r>
    </w:p>
    <w:p>
      <w:pPr>
        <w:spacing w:after="720" w:before="0"/>
        <w:jc w:val="center"/>
      </w:pPr>
      <w:r>
        <w:rPr>
          <w:rFonts w:ascii="Arial" w:cs="Arial" w:eastAsia="Arial" w:hAnsi="Arial"/>
          <w:i/>
          <w:iCs/>
          <w:color w:val="777777"/>
          <w:sz w:val="20"/>
          <w:szCs w:val="20"/>
        </w:rPr>
        <w:t xml:space="preserve">Domain: Environmental Studies, Biodiversity Conservation &amp; Ecology</w:t>
      </w:r>
    </w:p>
    <w:p>
      <w:pPr>
        <w:pBdr>
          <w:bottom w:val="single" w:color="2E7D32" w:sz="4" w:space="1"/>
        </w:pBdr>
        <w:spacing w:after="120" w:before="120"/>
      </w:pPr>
    </w:p>
    <w:p>
      <w:pPr>
        <w:pStyle w:val="Heading1"/>
        <w:spacing w:after="120" w:before="360"/>
      </w:pPr>
      <w:r>
        <w:rPr>
          <w:rFonts w:ascii="Arial" w:cs="Arial" w:eastAsia="Arial" w:hAnsi="Arial"/>
          <w:b/>
          <w:bCs/>
          <w:color w:val="2E7D32"/>
          <w:sz w:val="32"/>
          <w:szCs w:val="32"/>
        </w:rPr>
        <w:t xml:space="preserve">1. Executive Summary</w:t>
      </w:r>
    </w:p>
    <w:p>
      <w:pPr>
        <w:spacing w:after="80" w:before="60"/>
      </w:pPr>
      <w:r>
        <w:rPr>
          <w:rFonts w:ascii="Arial" w:cs="Arial" w:eastAsia="Arial" w:hAnsi="Arial"/>
          <w:sz w:val="22"/>
          <w:szCs w:val="22"/>
        </w:rPr>
        <w:t xml:space="preserve">This report presents a comprehensive analysis of bird species observations collected across forest and grassland ecosystems monitored by the National Capital Region Network (NCRN) Bird Monitoring Program. The study examines avian biodiversity across 11 administrative units, exploring temporal patterns, spatial distributions, species richness, environmental influences, and conservation priorities.</w:t>
      </w:r>
    </w:p>
    <w:p>
      <w:pPr>
        <w:spacing w:after="80" w:before="60"/>
      </w:pPr>
      <w:r>
        <w:rPr>
          <w:rFonts w:ascii="Arial" w:cs="Arial" w:eastAsia="Arial" w:hAnsi="Arial"/>
          <w:sz w:val="22"/>
          <w:szCs w:val="22"/>
        </w:rPr>
        <w:t xml:space="preserve">The analysis integrates data from two habitat types — Forest and Grassland — covering thousands of individual bird observations. Key findings reveal significant differences in species diversity between habitats, clear seasonal activity patterns, and the presence of several Partners in Flight (PIF) watchlist species that require conservation attention.</w:t>
      </w:r>
    </w:p>
    <w:p>
      <w:pPr>
        <w:pBdr>
          <w:bottom w:val="single" w:color="2E7D32" w:sz="4" w:space="1"/>
        </w:pBdr>
        <w:spacing w:after="120" w:before="120"/>
      </w:pPr>
    </w:p>
    <w:p>
      <w:pPr>
        <w:pStyle w:val="Heading1"/>
        <w:spacing w:after="120" w:before="360"/>
      </w:pPr>
      <w:r>
        <w:rPr>
          <w:rFonts w:ascii="Arial" w:cs="Arial" w:eastAsia="Arial" w:hAnsi="Arial"/>
          <w:b/>
          <w:bCs/>
          <w:color w:val="2E7D32"/>
          <w:sz w:val="32"/>
          <w:szCs w:val="32"/>
        </w:rPr>
        <w:t xml:space="preserve">2. Project Overview</w:t>
      </w:r>
    </w:p>
    <w:p>
      <w:pPr>
        <w:pStyle w:val="Heading2"/>
        <w:spacing w:after="80" w:before="240"/>
      </w:pPr>
      <w:r>
        <w:rPr>
          <w:rFonts w:ascii="Arial" w:cs="Arial" w:eastAsia="Arial" w:hAnsi="Arial"/>
          <w:b/>
          <w:bCs/>
          <w:color w:val="1B5E20"/>
          <w:sz w:val="26"/>
          <w:szCs w:val="26"/>
        </w:rPr>
        <w:t xml:space="preserve">2.1 Objectives</w:t>
      </w:r>
    </w:p>
    <w:p>
      <w:pPr>
        <w:pStyle w:val="ListParagraph"/>
        <w:numPr>
          <w:ilvl w:val="0"/>
          <w:numId w:val="2"/>
        </w:numPr>
        <w:spacing w:after="40" w:before="40"/>
      </w:pPr>
      <w:r>
        <w:rPr>
          <w:rFonts w:ascii="Arial" w:cs="Arial" w:eastAsia="Arial" w:hAnsi="Arial"/>
          <w:sz w:val="22"/>
          <w:szCs w:val="22"/>
        </w:rPr>
        <w:t xml:space="preserve">Analyze the distribution and diversity of bird species across forest and grassland habitats</w:t>
      </w:r>
    </w:p>
    <w:p>
      <w:pPr>
        <w:pStyle w:val="ListParagraph"/>
        <w:numPr>
          <w:ilvl w:val="0"/>
          <w:numId w:val="2"/>
        </w:numPr>
        <w:spacing w:after="40" w:before="40"/>
      </w:pPr>
      <w:r>
        <w:rPr>
          <w:rFonts w:ascii="Arial" w:cs="Arial" w:eastAsia="Arial" w:hAnsi="Arial"/>
          <w:sz w:val="22"/>
          <w:szCs w:val="22"/>
        </w:rPr>
        <w:t xml:space="preserve">Identify temporal and spatial patterns in bird activity and observation frequency</w:t>
      </w:r>
    </w:p>
    <w:p>
      <w:pPr>
        <w:pStyle w:val="ListParagraph"/>
        <w:numPr>
          <w:ilvl w:val="0"/>
          <w:numId w:val="2"/>
        </w:numPr>
        <w:spacing w:after="40" w:before="40"/>
      </w:pPr>
      <w:r>
        <w:rPr>
          <w:rFonts w:ascii="Arial" w:cs="Arial" w:eastAsia="Arial" w:hAnsi="Arial"/>
          <w:sz w:val="22"/>
          <w:szCs w:val="22"/>
        </w:rPr>
        <w:t xml:space="preserve">Investigate the relationship between environmental conditions and bird behavior</w:t>
      </w:r>
    </w:p>
    <w:p>
      <w:pPr>
        <w:pStyle w:val="ListParagraph"/>
        <w:numPr>
          <w:ilvl w:val="0"/>
          <w:numId w:val="2"/>
        </w:numPr>
        <w:spacing w:after="40" w:before="40"/>
      </w:pPr>
      <w:r>
        <w:rPr>
          <w:rFonts w:ascii="Arial" w:cs="Arial" w:eastAsia="Arial" w:hAnsi="Arial"/>
          <w:sz w:val="22"/>
          <w:szCs w:val="22"/>
        </w:rPr>
        <w:t xml:space="preserve">Highlight conservation priorities by identifying at-risk and watchlist species</w:t>
      </w:r>
    </w:p>
    <w:p>
      <w:pPr>
        <w:pStyle w:val="ListParagraph"/>
        <w:numPr>
          <w:ilvl w:val="0"/>
          <w:numId w:val="2"/>
        </w:numPr>
        <w:spacing w:after="40" w:before="40"/>
      </w:pPr>
      <w:r>
        <w:rPr>
          <w:rFonts w:ascii="Arial" w:cs="Arial" w:eastAsia="Arial" w:hAnsi="Arial"/>
          <w:sz w:val="22"/>
          <w:szCs w:val="22"/>
        </w:rPr>
        <w:t xml:space="preserve">Deliver an interactive dashboard for stakeholder exploration of findings</w:t>
      </w:r>
    </w:p>
    <w:p>
      <w:pPr>
        <w:spacing w:after="80" w:before="80"/>
      </w:pPr>
    </w:p>
    <w:p>
      <w:pPr>
        <w:pStyle w:val="Heading2"/>
        <w:spacing w:after="80" w:before="240"/>
      </w:pPr>
      <w:r>
        <w:rPr>
          <w:rFonts w:ascii="Arial" w:cs="Arial" w:eastAsia="Arial" w:hAnsi="Arial"/>
          <w:b/>
          <w:bCs/>
          <w:color w:val="1B5E20"/>
          <w:sz w:val="26"/>
          <w:szCs w:val="26"/>
        </w:rPr>
        <w:t xml:space="preserve">2.2 Data Sources</w:t>
      </w:r>
    </w:p>
    <w:p>
      <w:pPr>
        <w:spacing w:after="80" w:before="60"/>
      </w:pPr>
      <w:r>
        <w:rPr>
          <w:rFonts w:ascii="Arial" w:cs="Arial" w:eastAsia="Arial" w:hAnsi="Arial"/>
          <w:sz w:val="22"/>
          <w:szCs w:val="22"/>
        </w:rPr>
        <w:t xml:space="preserve">The dataset comprises bird monitoring records from two Excel files:</w:t>
      </w:r>
    </w:p>
    <w:p>
      <w:pPr>
        <w:pStyle w:val="ListParagraph"/>
        <w:numPr>
          <w:ilvl w:val="0"/>
          <w:numId w:val="2"/>
        </w:numPr>
        <w:spacing w:after="40" w:before="40"/>
      </w:pPr>
      <w:r>
        <w:rPr>
          <w:rFonts w:ascii="Arial" w:cs="Arial" w:eastAsia="Arial" w:hAnsi="Arial"/>
          <w:sz w:val="22"/>
          <w:szCs w:val="22"/>
        </w:rPr>
        <w:t xml:space="preserve">Bird_Monitoring_Data_FOREST.XLSX — Forest ecosystem observations across 11 sheets (one per admin unit)</w:t>
      </w:r>
    </w:p>
    <w:p>
      <w:pPr>
        <w:pStyle w:val="ListParagraph"/>
        <w:numPr>
          <w:ilvl w:val="0"/>
          <w:numId w:val="2"/>
        </w:numPr>
        <w:spacing w:after="40" w:before="40"/>
      </w:pPr>
      <w:r>
        <w:rPr>
          <w:rFonts w:ascii="Arial" w:cs="Arial" w:eastAsia="Arial" w:hAnsi="Arial"/>
          <w:sz w:val="22"/>
          <w:szCs w:val="22"/>
        </w:rPr>
        <w:t xml:space="preserve">Bird_Monitoring_Data_GRASSLAND.XLSX — Grassland ecosystem observations in the same format</w:t>
      </w:r>
    </w:p>
    <w:p>
      <w:pPr>
        <w:spacing w:after="80" w:before="80"/>
      </w:pPr>
    </w:p>
    <w:p>
      <w:pPr>
        <w:spacing w:after="80" w:before="60"/>
      </w:pPr>
      <w:r>
        <w:rPr>
          <w:rFonts w:ascii="Arial" w:cs="Arial" w:eastAsia="Arial" w:hAnsi="Arial"/>
          <w:sz w:val="22"/>
          <w:szCs w:val="22"/>
        </w:rPr>
        <w:t xml:space="preserve">Both datasets were merged and cleaned into a unified dataset: Bird_Cleaned_Dataset.csv, containing all observations with standardized columns for analysis.</w:t>
      </w:r>
    </w:p>
    <w:p>
      <w:pPr>
        <w:pStyle w:val="Heading2"/>
        <w:spacing w:after="80" w:before="240"/>
      </w:pPr>
      <w:r>
        <w:rPr>
          <w:rFonts w:ascii="Arial" w:cs="Arial" w:eastAsia="Arial" w:hAnsi="Arial"/>
          <w:b/>
          <w:bCs/>
          <w:color w:val="1B5E20"/>
          <w:sz w:val="26"/>
          <w:szCs w:val="26"/>
        </w:rPr>
        <w:t xml:space="preserve">2.3 Administrative Units Covered</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Code</w:t>
            </w:r>
          </w:p>
        </w:tc>
        <w:tc>
          <w:tcPr>
            <w:tcW w:type="dxa" w:w="736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Park / Unit Name</w:t>
            </w:r>
          </w:p>
        </w:tc>
      </w:tr>
      <w:tr>
        <w:tc>
          <w:tcPr>
            <w:tcW w:type="dxa" w:w="200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r>
              <w:rPr>
                <w:rFonts w:ascii="Arial" w:cs="Arial" w:eastAsia="Arial" w:hAnsi="Arial"/>
                <w:sz w:val="20"/>
                <w:szCs w:val="20"/>
              </w:rPr>
              <w:t xml:space="preserve">ANTI</w:t>
            </w:r>
          </w:p>
        </w:tc>
        <w:tc>
          <w:tcPr>
            <w:tcW w:type="dxa" w:w="736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r>
              <w:rPr>
                <w:rFonts w:ascii="Arial" w:cs="Arial" w:eastAsia="Arial" w:hAnsi="Arial"/>
                <w:sz w:val="20"/>
                <w:szCs w:val="20"/>
              </w:rPr>
              <w:t xml:space="preserve">Antietam National Battlefield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CATO</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Catoctin Mountain Park</w:t>
            </w:r>
          </w:p>
        </w:tc>
      </w:tr>
      <w:tr>
        <w:tc>
          <w:tcPr>
            <w:tcW w:type="dxa" w:w="200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r>
              <w:rPr>
                <w:rFonts w:ascii="Arial" w:cs="Arial" w:eastAsia="Arial" w:hAnsi="Arial"/>
                <w:sz w:val="20"/>
                <w:szCs w:val="20"/>
              </w:rPr>
              <w:t xml:space="preserve">CHOH</w:t>
            </w:r>
          </w:p>
        </w:tc>
        <w:tc>
          <w:tcPr>
            <w:tcW w:type="dxa" w:w="736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r>
              <w:rPr>
                <w:rFonts w:ascii="Arial" w:cs="Arial" w:eastAsia="Arial" w:hAnsi="Arial"/>
                <w:sz w:val="20"/>
                <w:szCs w:val="20"/>
              </w:rPr>
              <w:t xml:space="preserve">Chesapeake and Ohio Canal National Historical Park</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GWMP</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George Washington Memorial Parkway</w:t>
            </w:r>
          </w:p>
        </w:tc>
      </w:tr>
      <w:tr>
        <w:tc>
          <w:tcPr>
            <w:tcW w:type="dxa" w:w="200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r>
              <w:rPr>
                <w:rFonts w:ascii="Arial" w:cs="Arial" w:eastAsia="Arial" w:hAnsi="Arial"/>
                <w:sz w:val="20"/>
                <w:szCs w:val="20"/>
              </w:rPr>
              <w:t xml:space="preserve">HAFE</w:t>
            </w:r>
          </w:p>
        </w:tc>
        <w:tc>
          <w:tcPr>
            <w:tcW w:type="dxa" w:w="736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r>
              <w:rPr>
                <w:rFonts w:ascii="Arial" w:cs="Arial" w:eastAsia="Arial" w:hAnsi="Arial"/>
                <w:sz w:val="20"/>
                <w:szCs w:val="20"/>
              </w:rPr>
              <w:t xml:space="preserve">Harpers Ferry National Historical Park</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MANA</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Manassas National Battlefield Park</w:t>
            </w:r>
          </w:p>
        </w:tc>
      </w:tr>
      <w:tr>
        <w:tc>
          <w:tcPr>
            <w:tcW w:type="dxa" w:w="200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r>
              <w:rPr>
                <w:rFonts w:ascii="Arial" w:cs="Arial" w:eastAsia="Arial" w:hAnsi="Arial"/>
                <w:sz w:val="20"/>
                <w:szCs w:val="20"/>
              </w:rPr>
              <w:t xml:space="preserve">MONO</w:t>
            </w:r>
          </w:p>
        </w:tc>
        <w:tc>
          <w:tcPr>
            <w:tcW w:type="dxa" w:w="736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r>
              <w:rPr>
                <w:rFonts w:ascii="Arial" w:cs="Arial" w:eastAsia="Arial" w:hAnsi="Arial"/>
                <w:sz w:val="20"/>
                <w:szCs w:val="20"/>
              </w:rPr>
              <w:t xml:space="preserve">Monocacy National Battlefield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NACE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National Capital East Parks</w:t>
            </w:r>
          </w:p>
        </w:tc>
      </w:tr>
      <w:tr>
        <w:tc>
          <w:tcPr>
            <w:tcW w:type="dxa" w:w="200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r>
              <w:rPr>
                <w:rFonts w:ascii="Arial" w:cs="Arial" w:eastAsia="Arial" w:hAnsi="Arial"/>
                <w:sz w:val="20"/>
                <w:szCs w:val="20"/>
              </w:rPr>
              <w:t xml:space="preserve">PRWI</w:t>
            </w:r>
          </w:p>
        </w:tc>
        <w:tc>
          <w:tcPr>
            <w:tcW w:type="dxa" w:w="736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r>
              <w:rPr>
                <w:rFonts w:ascii="Arial" w:cs="Arial" w:eastAsia="Arial" w:hAnsi="Arial"/>
                <w:sz w:val="20"/>
                <w:szCs w:val="20"/>
              </w:rPr>
              <w:t xml:space="preserve">Prince William Forest Park</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ROCR</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Rock Creek Park</w:t>
            </w:r>
          </w:p>
        </w:tc>
      </w:tr>
      <w:tr>
        <w:tc>
          <w:tcPr>
            <w:tcW w:type="dxa" w:w="200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r>
              <w:rPr>
                <w:rFonts w:ascii="Arial" w:cs="Arial" w:eastAsia="Arial" w:hAnsi="Arial"/>
                <w:sz w:val="20"/>
                <w:szCs w:val="20"/>
              </w:rPr>
              <w:t xml:space="preserve">WOTR</w:t>
            </w:r>
          </w:p>
        </w:tc>
        <w:tc>
          <w:tcPr>
            <w:tcW w:type="dxa" w:w="736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r>
              <w:rPr>
                <w:rFonts w:ascii="Arial" w:cs="Arial" w:eastAsia="Arial" w:hAnsi="Arial"/>
                <w:sz w:val="20"/>
                <w:szCs w:val="20"/>
              </w:rPr>
              <w:t xml:space="preserve">Wolf Trap National Park for the Performing Arts</w:t>
            </w:r>
          </w:p>
        </w:tc>
      </w:tr>
    </w:tbl>
    <w:p>
      <w:pPr>
        <w:spacing w:after="80" w:before="120"/>
      </w:pPr>
    </w:p>
    <w:p>
      <w:pPr>
        <w:pBdr>
          <w:bottom w:val="single" w:color="2E7D32" w:sz="4" w:space="1"/>
        </w:pBdr>
        <w:spacing w:after="120" w:before="120"/>
      </w:pPr>
    </w:p>
    <w:p>
      <w:pPr>
        <w:pStyle w:val="Heading1"/>
        <w:spacing w:after="120" w:before="360"/>
      </w:pPr>
      <w:r>
        <w:rPr>
          <w:rFonts w:ascii="Arial" w:cs="Arial" w:eastAsia="Arial" w:hAnsi="Arial"/>
          <w:b/>
          <w:bCs/>
          <w:color w:val="2E7D32"/>
          <w:sz w:val="32"/>
          <w:szCs w:val="32"/>
        </w:rPr>
        <w:t xml:space="preserve">3. Data Cleaning &amp; Preprocessing</w:t>
      </w:r>
    </w:p>
    <w:p>
      <w:pPr>
        <w:spacing w:after="80" w:before="60"/>
      </w:pPr>
      <w:r>
        <w:rPr>
          <w:rFonts w:ascii="Arial" w:cs="Arial" w:eastAsia="Arial" w:hAnsi="Arial"/>
          <w:sz w:val="22"/>
          <w:szCs w:val="22"/>
        </w:rPr>
        <w:t xml:space="preserve">Raw data from both ecosystem files was loaded, merged, and cleaned through the following steps:</w:t>
      </w:r>
    </w:p>
    <w:p>
      <w:pPr>
        <w:pStyle w:val="Heading2"/>
        <w:spacing w:after="80" w:before="240"/>
      </w:pPr>
      <w:r>
        <w:rPr>
          <w:rFonts w:ascii="Arial" w:cs="Arial" w:eastAsia="Arial" w:hAnsi="Arial"/>
          <w:b/>
          <w:bCs/>
          <w:color w:val="1B5E20"/>
          <w:sz w:val="26"/>
          <w:szCs w:val="26"/>
        </w:rPr>
        <w:t xml:space="preserve">3.1 Data Loading</w:t>
      </w:r>
    </w:p>
    <w:p>
      <w:pPr>
        <w:pStyle w:val="ListParagraph"/>
        <w:numPr>
          <w:ilvl w:val="0"/>
          <w:numId w:val="2"/>
        </w:numPr>
        <w:spacing w:after="40" w:before="40"/>
      </w:pPr>
      <w:r>
        <w:rPr>
          <w:rFonts w:ascii="Arial" w:cs="Arial" w:eastAsia="Arial" w:hAnsi="Arial"/>
          <w:sz w:val="22"/>
          <w:szCs w:val="22"/>
        </w:rPr>
        <w:t xml:space="preserve">Loaded all sheets from both Excel files using pandas ExcelFile and concatenated them into a single DataFrame</w:t>
      </w:r>
    </w:p>
    <w:p>
      <w:pPr>
        <w:pStyle w:val="ListParagraph"/>
        <w:numPr>
          <w:ilvl w:val="0"/>
          <w:numId w:val="2"/>
        </w:numPr>
        <w:spacing w:after="40" w:before="40"/>
      </w:pPr>
      <w:r>
        <w:rPr>
          <w:rFonts w:ascii="Arial" w:cs="Arial" w:eastAsia="Arial" w:hAnsi="Arial"/>
          <w:sz w:val="22"/>
          <w:szCs w:val="22"/>
        </w:rPr>
        <w:t xml:space="preserve">Added missing columns: Previously_Obs (NaN for grassland) and Site_Name (NaN for forest) to ensure uniform structure</w:t>
      </w:r>
    </w:p>
    <w:p>
      <w:pPr>
        <w:pStyle w:val="ListParagraph"/>
        <w:numPr>
          <w:ilvl w:val="0"/>
          <w:numId w:val="2"/>
        </w:numPr>
        <w:spacing w:after="40" w:before="40"/>
      </w:pPr>
      <w:r>
        <w:rPr>
          <w:rFonts w:ascii="Arial" w:cs="Arial" w:eastAsia="Arial" w:hAnsi="Arial"/>
          <w:sz w:val="22"/>
          <w:szCs w:val="22"/>
        </w:rPr>
        <w:t xml:space="preserve">Renamed TaxonCode to NPSTaxonCode in the grassland dataset for consistency</w:t>
      </w:r>
    </w:p>
    <w:p>
      <w:pPr>
        <w:pStyle w:val="Heading2"/>
        <w:spacing w:after="80" w:before="240"/>
      </w:pPr>
      <w:r>
        <w:rPr>
          <w:rFonts w:ascii="Arial" w:cs="Arial" w:eastAsia="Arial" w:hAnsi="Arial"/>
          <w:b/>
          <w:bCs/>
          <w:color w:val="1B5E20"/>
          <w:sz w:val="26"/>
          <w:szCs w:val="26"/>
        </w:rPr>
        <w:t xml:space="preserve">3.2 Cleaning Steps</w:t>
      </w:r>
    </w:p>
    <w:p>
      <w:pPr>
        <w:pStyle w:val="ListParagraph"/>
        <w:numPr>
          <w:ilvl w:val="0"/>
          <w:numId w:val="2"/>
        </w:numPr>
        <w:spacing w:after="40" w:before="40"/>
      </w:pPr>
      <w:r>
        <w:rPr>
          <w:rFonts w:ascii="Arial" w:cs="Arial" w:eastAsia="Arial" w:hAnsi="Arial"/>
          <w:sz w:val="22"/>
          <w:szCs w:val="22"/>
        </w:rPr>
        <w:t xml:space="preserve">Date Parsing: Converted the Date column to datetime format using pd.to_datetime with error handling</w:t>
      </w:r>
    </w:p>
    <w:p>
      <w:pPr>
        <w:pStyle w:val="ListParagraph"/>
        <w:numPr>
          <w:ilvl w:val="0"/>
          <w:numId w:val="2"/>
        </w:numPr>
        <w:spacing w:after="40" w:before="40"/>
      </w:pPr>
      <w:r>
        <w:rPr>
          <w:rFonts w:ascii="Arial" w:cs="Arial" w:eastAsia="Arial" w:hAnsi="Arial"/>
          <w:sz w:val="22"/>
          <w:szCs w:val="22"/>
        </w:rPr>
        <w:t xml:space="preserve">Time Normalization: Standardized Start_Time and End_Time from Excel serial numbers and string formats to HH:MM</w:t>
      </w:r>
    </w:p>
    <w:p>
      <w:pPr>
        <w:pStyle w:val="ListParagraph"/>
        <w:numPr>
          <w:ilvl w:val="0"/>
          <w:numId w:val="2"/>
        </w:numPr>
        <w:spacing w:after="40" w:before="40"/>
      </w:pPr>
      <w:r>
        <w:rPr>
          <w:rFonts w:ascii="Arial" w:cs="Arial" w:eastAsia="Arial" w:hAnsi="Arial"/>
          <w:sz w:val="22"/>
          <w:szCs w:val="22"/>
        </w:rPr>
        <w:t xml:space="preserve">Year &amp; Month Extraction: Filled missing Year values with 0 and extracted Month from Date for temporal analysis</w:t>
      </w:r>
    </w:p>
    <w:p>
      <w:pPr>
        <w:pStyle w:val="ListParagraph"/>
        <w:numPr>
          <w:ilvl w:val="0"/>
          <w:numId w:val="2"/>
        </w:numPr>
        <w:spacing w:after="40" w:before="40"/>
      </w:pPr>
      <w:r>
        <w:rPr>
          <w:rFonts w:ascii="Arial" w:cs="Arial" w:eastAsia="Arial" w:hAnsi="Arial"/>
          <w:sz w:val="22"/>
          <w:szCs w:val="22"/>
        </w:rPr>
        <w:t xml:space="preserve">Season Mapping: Assigned Winter, Spring, Summer, or Fall based on month number</w:t>
      </w:r>
    </w:p>
    <w:p>
      <w:pPr>
        <w:pStyle w:val="ListParagraph"/>
        <w:numPr>
          <w:ilvl w:val="0"/>
          <w:numId w:val="2"/>
        </w:numPr>
        <w:spacing w:after="40" w:before="40"/>
      </w:pPr>
      <w:r>
        <w:rPr>
          <w:rFonts w:ascii="Arial" w:cs="Arial" w:eastAsia="Arial" w:hAnsi="Arial"/>
          <w:sz w:val="22"/>
          <w:szCs w:val="22"/>
        </w:rPr>
        <w:t xml:space="preserve">Missing Values: Filled Sex with 'Undetermined', Distance with context-based values ('Flyover' or 'Unknown'), and other fields with appropriate defaults</w:t>
      </w:r>
    </w:p>
    <w:p>
      <w:pPr>
        <w:pStyle w:val="ListParagraph"/>
        <w:numPr>
          <w:ilvl w:val="0"/>
          <w:numId w:val="2"/>
        </w:numPr>
        <w:spacing w:after="40" w:before="40"/>
      </w:pPr>
      <w:r>
        <w:rPr>
          <w:rFonts w:ascii="Arial" w:cs="Arial" w:eastAsia="Arial" w:hAnsi="Arial"/>
          <w:sz w:val="22"/>
          <w:szCs w:val="22"/>
        </w:rPr>
        <w:t xml:space="preserve">Boolean Standardization: Mapped True/False/1/0/'TRUE'/'FALSE' to consistent Python booleans across 5 watchlist and behavior columns</w:t>
      </w:r>
    </w:p>
    <w:p>
      <w:pPr>
        <w:pStyle w:val="ListParagraph"/>
        <w:numPr>
          <w:ilvl w:val="0"/>
          <w:numId w:val="2"/>
        </w:numPr>
        <w:spacing w:after="40" w:before="40"/>
      </w:pPr>
      <w:r>
        <w:rPr>
          <w:rFonts w:ascii="Arial" w:cs="Arial" w:eastAsia="Arial" w:hAnsi="Arial"/>
          <w:sz w:val="22"/>
          <w:szCs w:val="22"/>
        </w:rPr>
        <w:t xml:space="preserve">Duplicate Removal: Dropped duplicate rows and reset the DataFrame index</w:t>
      </w:r>
    </w:p>
    <w:p>
      <w:pPr>
        <w:pStyle w:val="ListParagraph"/>
        <w:numPr>
          <w:ilvl w:val="0"/>
          <w:numId w:val="2"/>
        </w:numPr>
        <w:spacing w:after="40" w:before="40"/>
      </w:pPr>
      <w:r>
        <w:rPr>
          <w:rFonts w:ascii="Arial" w:cs="Arial" w:eastAsia="Arial" w:hAnsi="Arial"/>
          <w:sz w:val="22"/>
          <w:szCs w:val="22"/>
        </w:rPr>
        <w:t xml:space="preserve">Export: Saved the cleaned dataset as Bird_Cleaned_Dataset.csv for downstream analysis</w:t>
      </w:r>
    </w:p>
    <w:p>
      <w:pPr>
        <w:pBdr>
          <w:bottom w:val="single" w:color="2E7D32" w:sz="4" w:space="1"/>
        </w:pBdr>
        <w:spacing w:after="120" w:before="120"/>
      </w:pPr>
    </w:p>
    <w:p>
      <w:pPr>
        <w:pStyle w:val="Heading1"/>
        <w:spacing w:after="120" w:before="360"/>
      </w:pPr>
      <w:r>
        <w:rPr>
          <w:rFonts w:ascii="Arial" w:cs="Arial" w:eastAsia="Arial" w:hAnsi="Arial"/>
          <w:b/>
          <w:bCs/>
          <w:color w:val="2E7D32"/>
          <w:sz w:val="32"/>
          <w:szCs w:val="32"/>
        </w:rPr>
        <w:t xml:space="preserve">4. Exploratory Data Analysis</w:t>
      </w:r>
    </w:p>
    <w:p>
      <w:pPr>
        <w:pStyle w:val="Heading2"/>
        <w:spacing w:after="80" w:before="240"/>
      </w:pPr>
      <w:r>
        <w:rPr>
          <w:rFonts w:ascii="Arial" w:cs="Arial" w:eastAsia="Arial" w:hAnsi="Arial"/>
          <w:b/>
          <w:bCs/>
          <w:color w:val="1B5E20"/>
          <w:sz w:val="26"/>
          <w:szCs w:val="26"/>
        </w:rPr>
        <w:t xml:space="preserve">4.1 Temporal Analysis</w:t>
      </w:r>
    </w:p>
    <w:p>
      <w:pPr>
        <w:spacing w:after="60" w:before="180"/>
      </w:pPr>
      <w:r>
        <w:rPr>
          <w:rFonts w:ascii="Arial" w:cs="Arial" w:eastAsia="Arial" w:hAnsi="Arial"/>
          <w:b/>
          <w:bCs/>
          <w:color w:val="388E3C"/>
          <w:sz w:val="24"/>
          <w:szCs w:val="24"/>
        </w:rPr>
        <w:t xml:space="preserve">Observations by Month</w:t>
      </w:r>
    </w:p>
    <w:p>
      <w:pPr>
        <w:spacing w:after="80" w:before="60"/>
      </w:pPr>
      <w:r>
        <w:rPr>
          <w:rFonts w:ascii="Arial" w:cs="Arial" w:eastAsia="Arial" w:hAnsi="Arial"/>
          <w:sz w:val="22"/>
          <w:szCs w:val="22"/>
        </w:rPr>
        <w:t xml:space="preserve">Bird observation counts were grouped by month and habitat type to reveal seasonal patterns. Peak activity was identified during spring and early summer months, consistent with breeding season behavior in both forest and grassland habitats.</w:t>
      </w:r>
    </w:p>
    <w:p>
      <w:pPr>
        <w:spacing w:after="60" w:before="180"/>
      </w:pPr>
      <w:r>
        <w:rPr>
          <w:rFonts w:ascii="Arial" w:cs="Arial" w:eastAsia="Arial" w:hAnsi="Arial"/>
          <w:b/>
          <w:bCs/>
          <w:color w:val="388E3C"/>
          <w:sz w:val="24"/>
          <w:szCs w:val="24"/>
        </w:rPr>
        <w:t xml:space="preserve">Activity by Hour of Day</w:t>
      </w:r>
    </w:p>
    <w:p>
      <w:pPr>
        <w:spacing w:after="80" w:before="60"/>
      </w:pPr>
      <w:r>
        <w:rPr>
          <w:rFonts w:ascii="Arial" w:cs="Arial" w:eastAsia="Arial" w:hAnsi="Arial"/>
          <w:sz w:val="22"/>
          <w:szCs w:val="22"/>
        </w:rPr>
        <w:t xml:space="preserve">Analysis of Start_Time revealed that bird activity peaks in the early morning hours (typically 5 AM to 9 AM), a well-known pattern called the 'dawn chorus.' Forest species showed slightly earlier peak activity compared to grassland species.</w:t>
      </w:r>
    </w:p>
    <w:p>
      <w:pPr>
        <w:spacing w:after="60" w:before="180"/>
      </w:pPr>
      <w:r>
        <w:rPr>
          <w:rFonts w:ascii="Arial" w:cs="Arial" w:eastAsia="Arial" w:hAnsi="Arial"/>
          <w:b/>
          <w:bCs/>
          <w:color w:val="388E3C"/>
          <w:sz w:val="24"/>
          <w:szCs w:val="24"/>
        </w:rPr>
        <w:t xml:space="preserve">Observation Intervals</w:t>
      </w:r>
    </w:p>
    <w:p>
      <w:pPr>
        <w:spacing w:after="80" w:before="60"/>
      </w:pPr>
      <w:r>
        <w:rPr>
          <w:rFonts w:ascii="Arial" w:cs="Arial" w:eastAsia="Arial" w:hAnsi="Arial"/>
          <w:sz w:val="22"/>
          <w:szCs w:val="22"/>
        </w:rPr>
        <w:t xml:space="preserve">The Interval_Length column was analyzed to understand recording patterns within each 10-minute observation session. Most observations were captured within the first 2.5 minutes, suggesting high early-session bird activity.</w:t>
      </w:r>
    </w:p>
    <w:p>
      <w:pPr>
        <w:pStyle w:val="Heading2"/>
        <w:spacing w:after="80" w:before="240"/>
      </w:pPr>
      <w:r>
        <w:rPr>
          <w:rFonts w:ascii="Arial" w:cs="Arial" w:eastAsia="Arial" w:hAnsi="Arial"/>
          <w:b/>
          <w:bCs/>
          <w:color w:val="1B5E20"/>
          <w:sz w:val="26"/>
          <w:szCs w:val="26"/>
        </w:rPr>
        <w:t xml:space="preserve">4.2 Spatial Analysis</w:t>
      </w:r>
    </w:p>
    <w:p>
      <w:pPr>
        <w:spacing w:after="60" w:before="180"/>
      </w:pPr>
      <w:r>
        <w:rPr>
          <w:rFonts w:ascii="Arial" w:cs="Arial" w:eastAsia="Arial" w:hAnsi="Arial"/>
          <w:b/>
          <w:bCs/>
          <w:color w:val="388E3C"/>
          <w:sz w:val="24"/>
          <w:szCs w:val="24"/>
        </w:rPr>
        <w:t xml:space="preserve">Forest vs. Grassland Comparison</w:t>
      </w:r>
    </w:p>
    <w:p>
      <w:pPr>
        <w:spacing w:after="80" w:before="60"/>
      </w:pPr>
      <w:r>
        <w:rPr>
          <w:rFonts w:ascii="Arial" w:cs="Arial" w:eastAsia="Arial" w:hAnsi="Arial"/>
          <w:sz w:val="22"/>
          <w:szCs w:val="22"/>
        </w:rPr>
        <w:t xml:space="preserve">Forest habitats recorded higher total observation counts and greater species diversity compared to grassland habitats. This is consistent with the generally higher structural complexity of forest ecosystems, which supports a wider range of ecological niches.</w:t>
      </w:r>
    </w:p>
    <w:p>
      <w:pPr>
        <w:spacing w:after="60" w:before="180"/>
      </w:pPr>
      <w:r>
        <w:rPr>
          <w:rFonts w:ascii="Arial" w:cs="Arial" w:eastAsia="Arial" w:hAnsi="Arial"/>
          <w:b/>
          <w:bCs/>
          <w:color w:val="388E3C"/>
          <w:sz w:val="24"/>
          <w:szCs w:val="24"/>
        </w:rPr>
        <w:t xml:space="preserve">Biodiversity by Admin Unit</w:t>
      </w:r>
    </w:p>
    <w:p>
      <w:pPr>
        <w:spacing w:after="80" w:before="60"/>
      </w:pPr>
      <w:r>
        <w:rPr>
          <w:rFonts w:ascii="Arial" w:cs="Arial" w:eastAsia="Arial" w:hAnsi="Arial"/>
          <w:sz w:val="22"/>
          <w:szCs w:val="22"/>
        </w:rPr>
        <w:t xml:space="preserve">Species diversity varied significantly across the 11 administrative units. Units with larger areas and more diverse vegetation types showed higher species richness, identifying them as priority conservation zones.</w:t>
      </w:r>
    </w:p>
    <w:p>
      <w:pPr>
        <w:spacing w:after="60" w:before="180"/>
      </w:pPr>
      <w:r>
        <w:rPr>
          <w:rFonts w:ascii="Arial" w:cs="Arial" w:eastAsia="Arial" w:hAnsi="Arial"/>
          <w:b/>
          <w:bCs/>
          <w:color w:val="388E3C"/>
          <w:sz w:val="24"/>
          <w:szCs w:val="24"/>
        </w:rPr>
        <w:t xml:space="preserve">Top Biodiversity Hotspots</w:t>
      </w:r>
    </w:p>
    <w:p>
      <w:pPr>
        <w:spacing w:after="80" w:before="60"/>
      </w:pPr>
      <w:r>
        <w:rPr>
          <w:rFonts w:ascii="Arial" w:cs="Arial" w:eastAsia="Arial" w:hAnsi="Arial"/>
          <w:sz w:val="22"/>
          <w:szCs w:val="22"/>
        </w:rPr>
        <w:t xml:space="preserve">The top 15 plots by unique species count were identified. These biodiversity hotspots are critical targets for focused conservation and monitoring efforts.</w:t>
      </w:r>
    </w:p>
    <w:p>
      <w:pPr>
        <w:pStyle w:val="Heading2"/>
        <w:spacing w:after="80" w:before="240"/>
      </w:pPr>
      <w:r>
        <w:rPr>
          <w:rFonts w:ascii="Arial" w:cs="Arial" w:eastAsia="Arial" w:hAnsi="Arial"/>
          <w:b/>
          <w:bCs/>
          <w:color w:val="1B5E20"/>
          <w:sz w:val="26"/>
          <w:szCs w:val="26"/>
        </w:rPr>
        <w:t xml:space="preserve">4.3 Species Analysis</w:t>
      </w:r>
    </w:p>
    <w:p>
      <w:pPr>
        <w:spacing w:after="60" w:before="180"/>
      </w:pPr>
      <w:r>
        <w:rPr>
          <w:rFonts w:ascii="Arial" w:cs="Arial" w:eastAsia="Arial" w:hAnsi="Arial"/>
          <w:b/>
          <w:bCs/>
          <w:color w:val="388E3C"/>
          <w:sz w:val="24"/>
          <w:szCs w:val="24"/>
        </w:rPr>
        <w:t xml:space="preserve">Most Observed Species</w:t>
      </w:r>
    </w:p>
    <w:p>
      <w:pPr>
        <w:spacing w:after="80" w:before="60"/>
      </w:pPr>
      <w:r>
        <w:rPr>
          <w:rFonts w:ascii="Arial" w:cs="Arial" w:eastAsia="Arial" w:hAnsi="Arial"/>
          <w:sz w:val="22"/>
          <w:szCs w:val="22"/>
        </w:rPr>
        <w:t xml:space="preserve">The top 15 most frequently observed species were identified across both habitats. Species composition differed between forest and grassland, reflecting habitat-specific adaptations.</w:t>
      </w:r>
    </w:p>
    <w:p>
      <w:pPr>
        <w:spacing w:after="60" w:before="180"/>
      </w:pPr>
      <w:r>
        <w:rPr>
          <w:rFonts w:ascii="Arial" w:cs="Arial" w:eastAsia="Arial" w:hAnsi="Arial"/>
          <w:b/>
          <w:bCs/>
          <w:color w:val="388E3C"/>
          <w:sz w:val="24"/>
          <w:szCs w:val="24"/>
        </w:rPr>
        <w:t xml:space="preserve">Identification Methods</w:t>
      </w:r>
    </w:p>
    <w:p>
      <w:pPr>
        <w:spacing w:after="80" w:before="60"/>
      </w:pPr>
      <w:r>
        <w:rPr>
          <w:rFonts w:ascii="Arial" w:cs="Arial" w:eastAsia="Arial" w:hAnsi="Arial"/>
          <w:sz w:val="22"/>
          <w:szCs w:val="22"/>
        </w:rPr>
        <w:t xml:space="preserve">Birds were identified through three primary methods: Singing, Calling, and Visualization. Singing was the most common ID method in forest habitats, while visualization was relatively more common in open grasslands where birds are more visible.</w:t>
      </w:r>
    </w:p>
    <w:p>
      <w:pPr>
        <w:spacing w:after="60" w:before="180"/>
      </w:pPr>
      <w:r>
        <w:rPr>
          <w:rFonts w:ascii="Arial" w:cs="Arial" w:eastAsia="Arial" w:hAnsi="Arial"/>
          <w:b/>
          <w:bCs/>
          <w:color w:val="388E3C"/>
          <w:sz w:val="24"/>
          <w:szCs w:val="24"/>
        </w:rPr>
        <w:t xml:space="preserve">Sex Ratio</w:t>
      </w:r>
    </w:p>
    <w:p>
      <w:pPr>
        <w:spacing w:after="80" w:before="60"/>
      </w:pPr>
      <w:r>
        <w:rPr>
          <w:rFonts w:ascii="Arial" w:cs="Arial" w:eastAsia="Arial" w:hAnsi="Arial"/>
          <w:sz w:val="22"/>
          <w:szCs w:val="22"/>
        </w:rPr>
        <w:t xml:space="preserve">The sex ratio analysis showed that a large proportion of observations were recorded as 'Undetermined,' which is typical for field observations. Among identified individuals, male birds were observed more frequently, likely due to their more active singing and display behaviors during the breeding season.</w:t>
      </w:r>
    </w:p>
    <w:p>
      <w:pPr>
        <w:pStyle w:val="Heading2"/>
        <w:spacing w:after="80" w:before="240"/>
      </w:pPr>
      <w:r>
        <w:rPr>
          <w:rFonts w:ascii="Arial" w:cs="Arial" w:eastAsia="Arial" w:hAnsi="Arial"/>
          <w:b/>
          <w:bCs/>
          <w:color w:val="1B5E20"/>
          <w:sz w:val="26"/>
          <w:szCs w:val="26"/>
        </w:rPr>
        <w:t xml:space="preserve">4.4 Environmental Conditions Analysis</w:t>
      </w:r>
    </w:p>
    <w:p>
      <w:pPr>
        <w:spacing w:after="60" w:before="180"/>
      </w:pPr>
      <w:r>
        <w:rPr>
          <w:rFonts w:ascii="Arial" w:cs="Arial" w:eastAsia="Arial" w:hAnsi="Arial"/>
          <w:b/>
          <w:bCs/>
          <w:color w:val="388E3C"/>
          <w:sz w:val="24"/>
          <w:szCs w:val="24"/>
        </w:rPr>
        <w:t xml:space="preserve">Temperature and Humidity</w:t>
      </w:r>
    </w:p>
    <w:p>
      <w:pPr>
        <w:spacing w:after="80" w:before="60"/>
      </w:pPr>
      <w:r>
        <w:rPr>
          <w:rFonts w:ascii="Arial" w:cs="Arial" w:eastAsia="Arial" w:hAnsi="Arial"/>
          <w:sz w:val="22"/>
          <w:szCs w:val="22"/>
        </w:rPr>
        <w:t xml:space="preserve">Scatter plot analysis of temperature vs. humidity during observation sessions revealed that most observations occurred under moderate temperature conditions. Forest observations were associated with slightly higher humidity levels compared to grassland observations.</w:t>
      </w:r>
    </w:p>
    <w:p>
      <w:pPr>
        <w:spacing w:after="60" w:before="180"/>
      </w:pPr>
      <w:r>
        <w:rPr>
          <w:rFonts w:ascii="Arial" w:cs="Arial" w:eastAsia="Arial" w:hAnsi="Arial"/>
          <w:b/>
          <w:bCs/>
          <w:color w:val="388E3C"/>
          <w:sz w:val="24"/>
          <w:szCs w:val="24"/>
        </w:rPr>
        <w:t xml:space="preserve">Sky and Wind Conditions</w:t>
      </w:r>
    </w:p>
    <w:p>
      <w:pPr>
        <w:spacing w:after="80" w:before="60"/>
      </w:pPr>
      <w:r>
        <w:rPr>
          <w:rFonts w:ascii="Arial" w:cs="Arial" w:eastAsia="Arial" w:hAnsi="Arial"/>
          <w:sz w:val="22"/>
          <w:szCs w:val="22"/>
        </w:rPr>
        <w:t xml:space="preserve">Clear and partly cloudy sky conditions were associated with the highest number of observations, while overcast and rainy conditions showed reduced bird activity. Calm to low-wind conditions produced the most observations, confirming that birds are less active or harder to detect in high-wind conditions.</w:t>
      </w:r>
    </w:p>
    <w:p>
      <w:pPr>
        <w:spacing w:after="60" w:before="180"/>
      </w:pPr>
      <w:r>
        <w:rPr>
          <w:rFonts w:ascii="Arial" w:cs="Arial" w:eastAsia="Arial" w:hAnsi="Arial"/>
          <w:b/>
          <w:bCs/>
          <w:color w:val="388E3C"/>
          <w:sz w:val="24"/>
          <w:szCs w:val="24"/>
        </w:rPr>
        <w:t xml:space="preserve">Disturbance Effects</w:t>
      </w:r>
    </w:p>
    <w:p>
      <w:pPr>
        <w:spacing w:after="80" w:before="60"/>
      </w:pPr>
      <w:r>
        <w:rPr>
          <w:rFonts w:ascii="Arial" w:cs="Arial" w:eastAsia="Arial" w:hAnsi="Arial"/>
          <w:sz w:val="22"/>
          <w:szCs w:val="22"/>
        </w:rPr>
        <w:t xml:space="preserve">The majority of observations were recorded under 'No effect on count' disturbance conditions, validating the data quality and consistency of the monitoring protocols used.</w:t>
      </w:r>
    </w:p>
    <w:p>
      <w:pPr>
        <w:pStyle w:val="Heading2"/>
        <w:spacing w:after="80" w:before="240"/>
      </w:pPr>
      <w:r>
        <w:rPr>
          <w:rFonts w:ascii="Arial" w:cs="Arial" w:eastAsia="Arial" w:hAnsi="Arial"/>
          <w:b/>
          <w:bCs/>
          <w:color w:val="1B5E20"/>
          <w:sz w:val="26"/>
          <w:szCs w:val="26"/>
        </w:rPr>
        <w:t xml:space="preserve">4.5 Distance &amp; Behavior Analysis</w:t>
      </w:r>
    </w:p>
    <w:p>
      <w:pPr>
        <w:spacing w:after="60" w:before="180"/>
      </w:pPr>
      <w:r>
        <w:rPr>
          <w:rFonts w:ascii="Arial" w:cs="Arial" w:eastAsia="Arial" w:hAnsi="Arial"/>
          <w:b/>
          <w:bCs/>
          <w:color w:val="388E3C"/>
          <w:sz w:val="24"/>
          <w:szCs w:val="24"/>
        </w:rPr>
        <w:t xml:space="preserve">Observation Distance</w:t>
      </w:r>
    </w:p>
    <w:p>
      <w:pPr>
        <w:spacing w:after="80" w:before="60"/>
      </w:pPr>
      <w:r>
        <w:rPr>
          <w:rFonts w:ascii="Arial" w:cs="Arial" w:eastAsia="Arial" w:hAnsi="Arial"/>
          <w:sz w:val="22"/>
          <w:szCs w:val="22"/>
        </w:rPr>
        <w:t xml:space="preserve">Most bird detections occurred within 50 meters of the observer. Forest species tended to be detected at shorter distances due to dense vegetation limiting sightlines, while grassland species were frequently observed at 50-100 meter distances.</w:t>
      </w:r>
    </w:p>
    <w:p>
      <w:pPr>
        <w:spacing w:after="60" w:before="180"/>
      </w:pPr>
      <w:r>
        <w:rPr>
          <w:rFonts w:ascii="Arial" w:cs="Arial" w:eastAsia="Arial" w:hAnsi="Arial"/>
          <w:b/>
          <w:bCs/>
          <w:color w:val="388E3C"/>
          <w:sz w:val="24"/>
          <w:szCs w:val="24"/>
        </w:rPr>
        <w:t xml:space="preserve">Flyover Frequency</w:t>
      </w:r>
    </w:p>
    <w:p>
      <w:pPr>
        <w:spacing w:after="80" w:before="60"/>
      </w:pPr>
      <w:r>
        <w:rPr>
          <w:rFonts w:ascii="Arial" w:cs="Arial" w:eastAsia="Arial" w:hAnsi="Arial"/>
          <w:sz w:val="22"/>
          <w:szCs w:val="22"/>
        </w:rPr>
        <w:t xml:space="preserve">Flyover observations (birds passing overhead without landing) were more common in grassland habitats, consistent with the open landscape allowing birds to traverse large areas. Forest habitats showed a higher proportion of perched or foraging birds.</w:t>
      </w:r>
    </w:p>
    <w:p>
      <w:pPr>
        <w:pStyle w:val="Heading2"/>
        <w:spacing w:after="80" w:before="240"/>
      </w:pPr>
      <w:r>
        <w:rPr>
          <w:rFonts w:ascii="Arial" w:cs="Arial" w:eastAsia="Arial" w:hAnsi="Arial"/>
          <w:b/>
          <w:bCs/>
          <w:color w:val="1B5E20"/>
          <w:sz w:val="26"/>
          <w:szCs w:val="26"/>
        </w:rPr>
        <w:t xml:space="preserve">4.6 Observer Analysis</w:t>
      </w:r>
    </w:p>
    <w:p>
      <w:pPr>
        <w:spacing w:after="60" w:before="180"/>
      </w:pPr>
      <w:r>
        <w:rPr>
          <w:rFonts w:ascii="Arial" w:cs="Arial" w:eastAsia="Arial" w:hAnsi="Arial"/>
          <w:b/>
          <w:bCs/>
          <w:color w:val="388E3C"/>
          <w:sz w:val="24"/>
          <w:szCs w:val="24"/>
        </w:rPr>
        <w:t xml:space="preserve">Observer Productivity</w:t>
      </w:r>
    </w:p>
    <w:p>
      <w:pPr>
        <w:spacing w:after="80" w:before="60"/>
      </w:pPr>
      <w:r>
        <w:rPr>
          <w:rFonts w:ascii="Arial" w:cs="Arial" w:eastAsia="Arial" w:hAnsi="Arial"/>
          <w:sz w:val="22"/>
          <w:szCs w:val="22"/>
        </w:rPr>
        <w:t xml:space="preserve">Analysis by observer revealed variation in the number of total observations and unique species recorded per individual. This variation may reflect differences in experience, assigned territories, or observation conditions rather than true differences in bird populations.</w:t>
      </w:r>
    </w:p>
    <w:p>
      <w:pPr>
        <w:spacing w:after="60" w:before="180"/>
      </w:pPr>
      <w:r>
        <w:rPr>
          <w:rFonts w:ascii="Arial" w:cs="Arial" w:eastAsia="Arial" w:hAnsi="Arial"/>
          <w:b/>
          <w:bCs/>
          <w:color w:val="388E3C"/>
          <w:sz w:val="24"/>
          <w:szCs w:val="24"/>
        </w:rPr>
        <w:t xml:space="preserve">Effect of Repeated Visits</w:t>
      </w:r>
    </w:p>
    <w:p>
      <w:pPr>
        <w:spacing w:after="80" w:before="60"/>
      </w:pPr>
      <w:r>
        <w:rPr>
          <w:rFonts w:ascii="Arial" w:cs="Arial" w:eastAsia="Arial" w:hAnsi="Arial"/>
          <w:sz w:val="22"/>
          <w:szCs w:val="22"/>
        </w:rPr>
        <w:t xml:space="preserve">Plots visited multiple times showed an accumulation of unique species over successive visits, demonstrating the value of repeated monitoring for capturing the full diversity of bird communities at each site.</w:t>
      </w:r>
    </w:p>
    <w:p>
      <w:pPr>
        <w:pBdr>
          <w:bottom w:val="single" w:color="2E7D32" w:sz="4" w:space="1"/>
        </w:pBdr>
        <w:spacing w:after="120" w:before="120"/>
      </w:pPr>
    </w:p>
    <w:p>
      <w:pPr>
        <w:pStyle w:val="Heading1"/>
        <w:spacing w:after="120" w:before="360"/>
      </w:pPr>
      <w:r>
        <w:rPr>
          <w:rFonts w:ascii="Arial" w:cs="Arial" w:eastAsia="Arial" w:hAnsi="Arial"/>
          <w:b/>
          <w:bCs/>
          <w:color w:val="2E7D32"/>
          <w:sz w:val="32"/>
          <w:szCs w:val="32"/>
        </w:rPr>
        <w:t xml:space="preserve">5. SQL Database</w:t>
      </w:r>
    </w:p>
    <w:p>
      <w:pPr>
        <w:spacing w:after="80" w:before="60"/>
      </w:pPr>
      <w:r>
        <w:rPr>
          <w:rFonts w:ascii="Arial" w:cs="Arial" w:eastAsia="Arial" w:hAnsi="Arial"/>
          <w:sz w:val="22"/>
          <w:szCs w:val="22"/>
        </w:rPr>
        <w:t xml:space="preserve">The cleaned dataset was loaded into a SQLite database (bird_observations.db) to enable structured querying and support dashboard visualizations.</w:t>
      </w:r>
    </w:p>
    <w:p>
      <w:pPr>
        <w:pStyle w:val="Heading2"/>
        <w:spacing w:after="80" w:before="240"/>
      </w:pPr>
      <w:r>
        <w:rPr>
          <w:rFonts w:ascii="Arial" w:cs="Arial" w:eastAsia="Arial" w:hAnsi="Arial"/>
          <w:b/>
          <w:bCs/>
          <w:color w:val="1B5E20"/>
          <w:sz w:val="26"/>
          <w:szCs w:val="26"/>
        </w:rPr>
        <w:t xml:space="preserve">5.1 Key Queries Executed</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Query</w:t>
            </w:r>
          </w:p>
        </w:tc>
        <w:tc>
          <w:tcPr>
            <w:tcW w:type="dxa" w:w="536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400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r>
              <w:rPr>
                <w:rFonts w:ascii="Arial" w:cs="Arial" w:eastAsia="Arial" w:hAnsi="Arial"/>
                <w:sz w:val="20"/>
                <w:szCs w:val="20"/>
              </w:rPr>
              <w:t xml:space="preserve">Top 10 species by count</w:t>
            </w:r>
          </w:p>
        </w:tc>
        <w:tc>
          <w:tcPr>
            <w:tcW w:type="dxa" w:w="536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r>
              <w:rPr>
                <w:rFonts w:ascii="Arial" w:cs="Arial" w:eastAsia="Arial" w:hAnsi="Arial"/>
                <w:sz w:val="20"/>
                <w:szCs w:val="20"/>
              </w:rPr>
              <w:t xml:space="preserve">Identify the most commonly observed bird species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Species diversity by habitat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Compare Forest vs Grassland total observations and unique species</w:t>
            </w:r>
          </w:p>
        </w:tc>
      </w:tr>
      <w:tr>
        <w:tc>
          <w:tcPr>
            <w:tcW w:type="dxa" w:w="400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r>
              <w:rPr>
                <w:rFonts w:ascii="Arial" w:cs="Arial" w:eastAsia="Arial" w:hAnsi="Arial"/>
                <w:sz w:val="20"/>
                <w:szCs w:val="20"/>
              </w:rPr>
              <w:t xml:space="preserve">Watchlist species with habitats</w:t>
            </w:r>
          </w:p>
        </w:tc>
        <w:tc>
          <w:tcPr>
            <w:tcW w:type="dxa" w:w="536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r>
              <w:rPr>
                <w:rFonts w:ascii="Arial" w:cs="Arial" w:eastAsia="Arial" w:hAnsi="Arial"/>
                <w:sz w:val="20"/>
                <w:szCs w:val="20"/>
              </w:rPr>
              <w:t xml:space="preserve">List at-risk species and which habitats they are found in</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Top 10 biodiversity hotspots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Rank plots by number of unique species observed</w:t>
            </w:r>
          </w:p>
        </w:tc>
      </w:tr>
    </w:tbl>
    <w:p>
      <w:pPr>
        <w:spacing w:after="80" w:before="120"/>
      </w:pPr>
    </w:p>
    <w:p>
      <w:pPr>
        <w:pBdr>
          <w:bottom w:val="single" w:color="2E7D32" w:sz="4" w:space="1"/>
        </w:pBdr>
        <w:spacing w:after="120" w:before="120"/>
      </w:pPr>
    </w:p>
    <w:p>
      <w:pPr>
        <w:pStyle w:val="Heading1"/>
        <w:spacing w:after="120" w:before="360"/>
      </w:pPr>
      <w:r>
        <w:rPr>
          <w:rFonts w:ascii="Arial" w:cs="Arial" w:eastAsia="Arial" w:hAnsi="Arial"/>
          <w:b/>
          <w:bCs/>
          <w:color w:val="2E7D32"/>
          <w:sz w:val="32"/>
          <w:szCs w:val="32"/>
        </w:rPr>
        <w:t xml:space="preserve">6. Conservation Insights</w:t>
      </w:r>
    </w:p>
    <w:p>
      <w:pPr>
        <w:spacing w:after="80" w:before="60"/>
      </w:pPr>
      <w:r>
        <w:rPr>
          <w:rFonts w:ascii="Arial" w:cs="Arial" w:eastAsia="Arial" w:hAnsi="Arial"/>
          <w:sz w:val="22"/>
          <w:szCs w:val="22"/>
        </w:rPr>
        <w:t xml:space="preserve">One of the most critical outcomes of this analysis is the identification of bird species listed on the Partners in Flight (PIF) Watchlist — species of conservation concern at a national or regional level.</w:t>
      </w:r>
    </w:p>
    <w:p>
      <w:pPr>
        <w:pStyle w:val="Heading2"/>
        <w:spacing w:after="80" w:before="240"/>
      </w:pPr>
      <w:r>
        <w:rPr>
          <w:rFonts w:ascii="Arial" w:cs="Arial" w:eastAsia="Arial" w:hAnsi="Arial"/>
          <w:b/>
          <w:bCs/>
          <w:color w:val="1B5E20"/>
          <w:sz w:val="26"/>
          <w:szCs w:val="26"/>
        </w:rPr>
        <w:t xml:space="preserve">6.1 Watchlist Species</w:t>
      </w:r>
    </w:p>
    <w:p>
      <w:pPr>
        <w:pStyle w:val="ListParagraph"/>
        <w:numPr>
          <w:ilvl w:val="0"/>
          <w:numId w:val="2"/>
        </w:numPr>
        <w:spacing w:after="40" w:before="40"/>
      </w:pPr>
      <w:r>
        <w:rPr>
          <w:rFonts w:ascii="Arial" w:cs="Arial" w:eastAsia="Arial" w:hAnsi="Arial"/>
          <w:sz w:val="22"/>
          <w:szCs w:val="22"/>
        </w:rPr>
        <w:t xml:space="preserve">Multiple PIF Watchlist species were detected across both forest and grassland habitats</w:t>
      </w:r>
    </w:p>
    <w:p>
      <w:pPr>
        <w:pStyle w:val="ListParagraph"/>
        <w:numPr>
          <w:ilvl w:val="0"/>
          <w:numId w:val="2"/>
        </w:numPr>
        <w:spacing w:after="40" w:before="40"/>
      </w:pPr>
      <w:r>
        <w:rPr>
          <w:rFonts w:ascii="Arial" w:cs="Arial" w:eastAsia="Arial" w:hAnsi="Arial"/>
          <w:sz w:val="22"/>
          <w:szCs w:val="22"/>
        </w:rPr>
        <w:t xml:space="preserve">Some watchlist species were found exclusively in one habitat type, underscoring the importance of protecting both ecosystems</w:t>
      </w:r>
    </w:p>
    <w:p>
      <w:pPr>
        <w:pStyle w:val="ListParagraph"/>
        <w:numPr>
          <w:ilvl w:val="0"/>
          <w:numId w:val="2"/>
        </w:numPr>
        <w:spacing w:after="40" w:before="40"/>
      </w:pPr>
      <w:r>
        <w:rPr>
          <w:rFonts w:ascii="Arial" w:cs="Arial" w:eastAsia="Arial" w:hAnsi="Arial"/>
          <w:sz w:val="22"/>
          <w:szCs w:val="22"/>
        </w:rPr>
        <w:t xml:space="preserve">Observation counts for watchlist species were significantly lower than common species, consistent with their at-risk status</w:t>
      </w:r>
    </w:p>
    <w:p>
      <w:pPr>
        <w:pStyle w:val="ListParagraph"/>
        <w:numPr>
          <w:ilvl w:val="0"/>
          <w:numId w:val="2"/>
        </w:numPr>
        <w:spacing w:after="40" w:before="40"/>
      </w:pPr>
      <w:r>
        <w:rPr>
          <w:rFonts w:ascii="Arial" w:cs="Arial" w:eastAsia="Arial" w:hAnsi="Arial"/>
          <w:sz w:val="22"/>
          <w:szCs w:val="22"/>
        </w:rPr>
        <w:t xml:space="preserve">The presence of watchlist species in specific admin units and plots highlights priority areas for targeted conservation action</w:t>
      </w:r>
    </w:p>
    <w:p>
      <w:pPr>
        <w:pStyle w:val="Heading2"/>
        <w:spacing w:after="80" w:before="240"/>
      </w:pPr>
      <w:r>
        <w:rPr>
          <w:rFonts w:ascii="Arial" w:cs="Arial" w:eastAsia="Arial" w:hAnsi="Arial"/>
          <w:b/>
          <w:bCs/>
          <w:color w:val="1B5E20"/>
          <w:sz w:val="26"/>
          <w:szCs w:val="26"/>
        </w:rPr>
        <w:t xml:space="preserve">6.2 Regional Stewardship</w:t>
      </w:r>
    </w:p>
    <w:p>
      <w:pPr>
        <w:pStyle w:val="ListParagraph"/>
        <w:numPr>
          <w:ilvl w:val="0"/>
          <w:numId w:val="2"/>
        </w:numPr>
        <w:spacing w:after="40" w:before="40"/>
      </w:pPr>
      <w:r>
        <w:rPr>
          <w:rFonts w:ascii="Arial" w:cs="Arial" w:eastAsia="Arial" w:hAnsi="Arial"/>
          <w:sz w:val="22"/>
          <w:szCs w:val="22"/>
        </w:rPr>
        <w:t xml:space="preserve">Species flagged under Regional_Stewardship_Status represent taxa for which the monitored region holds special responsibility</w:t>
      </w:r>
    </w:p>
    <w:p>
      <w:pPr>
        <w:pStyle w:val="ListParagraph"/>
        <w:numPr>
          <w:ilvl w:val="0"/>
          <w:numId w:val="2"/>
        </w:numPr>
        <w:spacing w:after="40" w:before="40"/>
      </w:pPr>
      <w:r>
        <w:rPr>
          <w:rFonts w:ascii="Arial" w:cs="Arial" w:eastAsia="Arial" w:hAnsi="Arial"/>
          <w:sz w:val="22"/>
          <w:szCs w:val="22"/>
        </w:rPr>
        <w:t xml:space="preserve">Protecting the habitats of these species in the 11 admin units is critical to regional biodiversity goals</w:t>
      </w:r>
    </w:p>
    <w:p>
      <w:pPr>
        <w:pStyle w:val="Heading2"/>
        <w:spacing w:after="80" w:before="240"/>
      </w:pPr>
      <w:r>
        <w:rPr>
          <w:rFonts w:ascii="Arial" w:cs="Arial" w:eastAsia="Arial" w:hAnsi="Arial"/>
          <w:b/>
          <w:bCs/>
          <w:color w:val="1B5E20"/>
          <w:sz w:val="26"/>
          <w:szCs w:val="26"/>
        </w:rPr>
        <w:t xml:space="preserve">6.3 Recommendations</w:t>
      </w:r>
    </w:p>
    <w:p>
      <w:pPr>
        <w:pStyle w:val="ListParagraph"/>
        <w:numPr>
          <w:ilvl w:val="0"/>
          <w:numId w:val="2"/>
        </w:numPr>
        <w:spacing w:after="40" w:before="40"/>
      </w:pPr>
      <w:r>
        <w:rPr>
          <w:rFonts w:ascii="Arial" w:cs="Arial" w:eastAsia="Arial" w:hAnsi="Arial"/>
          <w:sz w:val="22"/>
          <w:szCs w:val="22"/>
        </w:rPr>
        <w:t xml:space="preserve">Prioritize habitat protection in the top biodiversity hotspot plots identified in the spatial analysis</w:t>
      </w:r>
    </w:p>
    <w:p>
      <w:pPr>
        <w:pStyle w:val="ListParagraph"/>
        <w:numPr>
          <w:ilvl w:val="0"/>
          <w:numId w:val="2"/>
        </w:numPr>
        <w:spacing w:after="40" w:before="40"/>
      </w:pPr>
      <w:r>
        <w:rPr>
          <w:rFonts w:ascii="Arial" w:cs="Arial" w:eastAsia="Arial" w:hAnsi="Arial"/>
          <w:sz w:val="22"/>
          <w:szCs w:val="22"/>
        </w:rPr>
        <w:t xml:space="preserve">Increase monitoring frequency for watchlist species, especially during peak breeding season (spring-summer)</w:t>
      </w:r>
    </w:p>
    <w:p>
      <w:pPr>
        <w:pStyle w:val="ListParagraph"/>
        <w:numPr>
          <w:ilvl w:val="0"/>
          <w:numId w:val="2"/>
        </w:numPr>
        <w:spacing w:after="40" w:before="40"/>
      </w:pPr>
      <w:r>
        <w:rPr>
          <w:rFonts w:ascii="Arial" w:cs="Arial" w:eastAsia="Arial" w:hAnsi="Arial"/>
          <w:sz w:val="22"/>
          <w:szCs w:val="22"/>
        </w:rPr>
        <w:t xml:space="preserve">Reduce human disturbance in high-activity zones during early morning observation windows</w:t>
      </w:r>
    </w:p>
    <w:p>
      <w:pPr>
        <w:pStyle w:val="ListParagraph"/>
        <w:numPr>
          <w:ilvl w:val="0"/>
          <w:numId w:val="2"/>
        </w:numPr>
        <w:spacing w:after="40" w:before="40"/>
      </w:pPr>
      <w:r>
        <w:rPr>
          <w:rFonts w:ascii="Arial" w:cs="Arial" w:eastAsia="Arial" w:hAnsi="Arial"/>
          <w:sz w:val="22"/>
          <w:szCs w:val="22"/>
        </w:rPr>
        <w:t xml:space="preserve">Develop habitat restoration programs targeting grassland sites with lower species richness</w:t>
      </w:r>
    </w:p>
    <w:p>
      <w:pPr>
        <w:pBdr>
          <w:bottom w:val="single" w:color="2E7D32" w:sz="4" w:space="1"/>
        </w:pBdr>
        <w:spacing w:after="120" w:before="120"/>
      </w:pPr>
    </w:p>
    <w:p>
      <w:pPr>
        <w:pStyle w:val="Heading1"/>
        <w:spacing w:after="120" w:before="360"/>
      </w:pPr>
      <w:r>
        <w:rPr>
          <w:rFonts w:ascii="Arial" w:cs="Arial" w:eastAsia="Arial" w:hAnsi="Arial"/>
          <w:b/>
          <w:bCs/>
          <w:color w:val="2E7D32"/>
          <w:sz w:val="32"/>
          <w:szCs w:val="32"/>
        </w:rPr>
        <w:t xml:space="preserve">7. Interactive Dashboard</w:t>
      </w:r>
    </w:p>
    <w:p>
      <w:pPr>
        <w:spacing w:after="80" w:before="60"/>
      </w:pPr>
      <w:r>
        <w:rPr>
          <w:rFonts w:ascii="Arial" w:cs="Arial" w:eastAsia="Arial" w:hAnsi="Arial"/>
          <w:sz w:val="22"/>
          <w:szCs w:val="22"/>
        </w:rPr>
        <w:t xml:space="preserve">An interactive Streamlit dashboard was developed to allow stakeholders to explore the findings dynamically. The dashboard is powered by Plotly visualizations and includes the following features:</w:t>
      </w:r>
    </w:p>
    <w:p>
      <w:pPr>
        <w:pStyle w:val="Heading2"/>
        <w:spacing w:after="80" w:before="240"/>
      </w:pPr>
      <w:r>
        <w:rPr>
          <w:rFonts w:ascii="Arial" w:cs="Arial" w:eastAsia="Arial" w:hAnsi="Arial"/>
          <w:b/>
          <w:bCs/>
          <w:color w:val="1B5E20"/>
          <w:sz w:val="26"/>
          <w:szCs w:val="26"/>
        </w:rPr>
        <w:t xml:space="preserve">7.1 Features</w:t>
      </w:r>
    </w:p>
    <w:p>
      <w:pPr>
        <w:pStyle w:val="ListParagraph"/>
        <w:numPr>
          <w:ilvl w:val="0"/>
          <w:numId w:val="2"/>
        </w:numPr>
        <w:spacing w:after="40" w:before="40"/>
      </w:pPr>
      <w:r>
        <w:rPr>
          <w:rFonts w:ascii="Arial" w:cs="Arial" w:eastAsia="Arial" w:hAnsi="Arial"/>
          <w:sz w:val="22"/>
          <w:szCs w:val="22"/>
        </w:rPr>
        <w:t xml:space="preserve">Sidebar Filters: Filter data by habitat type (Forest/Grassland), admin unit, and watchlist status</w:t>
      </w:r>
    </w:p>
    <w:p>
      <w:pPr>
        <w:pStyle w:val="ListParagraph"/>
        <w:numPr>
          <w:ilvl w:val="0"/>
          <w:numId w:val="2"/>
        </w:numPr>
        <w:spacing w:after="40" w:before="40"/>
      </w:pPr>
      <w:r>
        <w:rPr>
          <w:rFonts w:ascii="Arial" w:cs="Arial" w:eastAsia="Arial" w:hAnsi="Arial"/>
          <w:sz w:val="22"/>
          <w:szCs w:val="22"/>
        </w:rPr>
        <w:t xml:space="preserve">KPI Metrics: At-a-glance summary cards showing total observations, unique species, admin units, and watchlist species count</w:t>
      </w:r>
    </w:p>
    <w:p>
      <w:pPr>
        <w:pStyle w:val="ListParagraph"/>
        <w:numPr>
          <w:ilvl w:val="0"/>
          <w:numId w:val="2"/>
        </w:numPr>
        <w:spacing w:after="40" w:before="40"/>
      </w:pPr>
      <w:r>
        <w:rPr>
          <w:rFonts w:ascii="Arial" w:cs="Arial" w:eastAsia="Arial" w:hAnsi="Arial"/>
          <w:sz w:val="22"/>
          <w:szCs w:val="22"/>
        </w:rPr>
        <w:t xml:space="preserve">Temporal Tab: Monthly observation bar chart and hourly activity line chart</w:t>
      </w:r>
    </w:p>
    <w:p>
      <w:pPr>
        <w:pStyle w:val="ListParagraph"/>
        <w:numPr>
          <w:ilvl w:val="0"/>
          <w:numId w:val="2"/>
        </w:numPr>
        <w:spacing w:after="40" w:before="40"/>
      </w:pPr>
      <w:r>
        <w:rPr>
          <w:rFonts w:ascii="Arial" w:cs="Arial" w:eastAsia="Arial" w:hAnsi="Arial"/>
          <w:sz w:val="22"/>
          <w:szCs w:val="22"/>
        </w:rPr>
        <w:t xml:space="preserve">Spatial Tab: Species diversity by admin unit and top 15 biodiversity hotspot plots</w:t>
      </w:r>
    </w:p>
    <w:p>
      <w:pPr>
        <w:pStyle w:val="ListParagraph"/>
        <w:numPr>
          <w:ilvl w:val="0"/>
          <w:numId w:val="2"/>
        </w:numPr>
        <w:spacing w:after="40" w:before="40"/>
      </w:pPr>
      <w:r>
        <w:rPr>
          <w:rFonts w:ascii="Arial" w:cs="Arial" w:eastAsia="Arial" w:hAnsi="Arial"/>
          <w:sz w:val="22"/>
          <w:szCs w:val="22"/>
        </w:rPr>
        <w:t xml:space="preserve">Species Tab: Top 10 species per habitat, ID method pie chart, and watchlist species bar chart</w:t>
      </w:r>
    </w:p>
    <w:p>
      <w:pPr>
        <w:pStyle w:val="ListParagraph"/>
        <w:numPr>
          <w:ilvl w:val="0"/>
          <w:numId w:val="2"/>
        </w:numPr>
        <w:spacing w:after="40" w:before="40"/>
      </w:pPr>
      <w:r>
        <w:rPr>
          <w:rFonts w:ascii="Arial" w:cs="Arial" w:eastAsia="Arial" w:hAnsi="Arial"/>
          <w:sz w:val="22"/>
          <w:szCs w:val="22"/>
        </w:rPr>
        <w:t xml:space="preserve">Environment Tab: Temperature vs Humidity scatter plot, sky condition and disturbance bar charts</w:t>
      </w:r>
    </w:p>
    <w:p>
      <w:pPr>
        <w:pStyle w:val="ListParagraph"/>
        <w:numPr>
          <w:ilvl w:val="0"/>
          <w:numId w:val="2"/>
        </w:numPr>
        <w:spacing w:after="40" w:before="40"/>
      </w:pPr>
      <w:r>
        <w:rPr>
          <w:rFonts w:ascii="Arial" w:cs="Arial" w:eastAsia="Arial" w:hAnsi="Arial"/>
          <w:sz w:val="22"/>
          <w:szCs w:val="22"/>
        </w:rPr>
        <w:t xml:space="preserve">Distance Tab: Distance distribution and flyover vs non-flyover stacked bar chart</w:t>
      </w:r>
    </w:p>
    <w:p>
      <w:pPr>
        <w:pStyle w:val="Heading2"/>
        <w:spacing w:after="80" w:before="240"/>
      </w:pPr>
      <w:r>
        <w:rPr>
          <w:rFonts w:ascii="Arial" w:cs="Arial" w:eastAsia="Arial" w:hAnsi="Arial"/>
          <w:b/>
          <w:bCs/>
          <w:color w:val="1B5E20"/>
          <w:sz w:val="26"/>
          <w:szCs w:val="26"/>
        </w:rPr>
        <w:t xml:space="preserve">7.2 Technologies Used</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636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00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r>
              <w:rPr>
                <w:rFonts w:ascii="Arial" w:cs="Arial" w:eastAsia="Arial" w:hAnsi="Arial"/>
                <w:sz w:val="20"/>
                <w:szCs w:val="20"/>
              </w:rPr>
              <w:t xml:space="preserve">Python / Pandas</w:t>
            </w:r>
          </w:p>
        </w:tc>
        <w:tc>
          <w:tcPr>
            <w:tcW w:type="dxa" w:w="636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r>
              <w:rPr>
                <w:rFonts w:ascii="Arial" w:cs="Arial" w:eastAsia="Arial" w:hAnsi="Arial"/>
                <w:sz w:val="20"/>
                <w:szCs w:val="20"/>
              </w:rPr>
              <w:t xml:space="preserve">Data loading, cleaning, and preprocessing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Plotly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Interactive charts and visualizations</w:t>
            </w:r>
          </w:p>
        </w:tc>
      </w:tr>
      <w:tr>
        <w:tc>
          <w:tcPr>
            <w:tcW w:type="dxa" w:w="300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r>
              <w:rPr>
                <w:rFonts w:ascii="Arial" w:cs="Arial" w:eastAsia="Arial" w:hAnsi="Arial"/>
                <w:sz w:val="20"/>
                <w:szCs w:val="20"/>
              </w:rPr>
              <w:t xml:space="preserve">Streamlit</w:t>
            </w:r>
          </w:p>
        </w:tc>
        <w:tc>
          <w:tcPr>
            <w:tcW w:type="dxa" w:w="636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r>
              <w:rPr>
                <w:rFonts w:ascii="Arial" w:cs="Arial" w:eastAsia="Arial" w:hAnsi="Arial"/>
                <w:sz w:val="20"/>
                <w:szCs w:val="20"/>
              </w:rPr>
              <w:t xml:space="preserve">Web dashboard framework</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SQLite / SQLAlchemy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Structured data storage and querying</w:t>
            </w:r>
          </w:p>
        </w:tc>
      </w:tr>
      <w:tr>
        <w:tc>
          <w:tcPr>
            <w:tcW w:type="dxa" w:w="300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r>
              <w:rPr>
                <w:rFonts w:ascii="Arial" w:cs="Arial" w:eastAsia="Arial" w:hAnsi="Arial"/>
                <w:sz w:val="20"/>
                <w:szCs w:val="20"/>
              </w:rPr>
              <w:t xml:space="preserve">NumPy</w:t>
            </w:r>
          </w:p>
        </w:tc>
        <w:tc>
          <w:tcPr>
            <w:tcW w:type="dxa" w:w="636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r>
              <w:rPr>
                <w:rFonts w:ascii="Arial" w:cs="Arial" w:eastAsia="Arial" w:hAnsi="Arial"/>
                <w:sz w:val="20"/>
                <w:szCs w:val="20"/>
              </w:rPr>
              <w:t xml:space="preserve">Numerical operations and data transformation</w:t>
            </w:r>
          </w:p>
        </w:tc>
      </w:tr>
    </w:tbl>
    <w:p>
      <w:pPr>
        <w:spacing w:after="80" w:before="120"/>
      </w:pPr>
    </w:p>
    <w:p>
      <w:pPr>
        <w:pBdr>
          <w:bottom w:val="single" w:color="2E7D32" w:sz="4" w:space="1"/>
        </w:pBdr>
        <w:spacing w:after="120" w:before="120"/>
      </w:pPr>
    </w:p>
    <w:p>
      <w:pPr>
        <w:pStyle w:val="Heading1"/>
        <w:spacing w:after="120" w:before="360"/>
      </w:pPr>
      <w:r>
        <w:rPr>
          <w:rFonts w:ascii="Arial" w:cs="Arial" w:eastAsia="Arial" w:hAnsi="Arial"/>
          <w:b/>
          <w:bCs/>
          <w:color w:val="2E7D32"/>
          <w:sz w:val="32"/>
          <w:szCs w:val="32"/>
        </w:rPr>
        <w:t xml:space="preserve">8. Project Deliverables</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c>
          <w:tcPr>
            <w:tcW w:type="dxa" w:w="30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Deliverable</w:t>
            </w:r>
          </w:p>
        </w:tc>
        <w:tc>
          <w:tcPr>
            <w:tcW w:type="dxa" w:w="20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436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r>
              <w:rPr>
                <w:rFonts w:ascii="Arial" w:cs="Arial" w:eastAsia="Arial" w:hAnsi="Arial"/>
                <w:sz w:val="20"/>
                <w:szCs w:val="20"/>
              </w:rPr>
              <w:t xml:space="preserve">Bird_Cleaned_Dataset.csv</w:t>
            </w:r>
          </w:p>
        </w:tc>
        <w:tc>
          <w:tcPr>
            <w:tcW w:type="dxa" w:w="200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r>
              <w:rPr>
                <w:rFonts w:ascii="Arial" w:cs="Arial" w:eastAsia="Arial" w:hAnsi="Arial"/>
                <w:sz w:val="20"/>
                <w:szCs w:val="20"/>
              </w:rPr>
              <w:t xml:space="preserve">Complete</w:t>
            </w:r>
          </w:p>
        </w:tc>
        <w:tc>
          <w:tcPr>
            <w:tcW w:type="dxa" w:w="436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r>
              <w:rPr>
                <w:rFonts w:ascii="Arial" w:cs="Arial" w:eastAsia="Arial" w:hAnsi="Arial"/>
                <w:sz w:val="20"/>
                <w:szCs w:val="20"/>
              </w:rPr>
              <w:t xml:space="preserve">Preprocessed and cleaned dataset ready for analysis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Bird_Analysis.ipynb</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Complete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Jupyter notebook with full EDA, SQL, and visualization code</w:t>
            </w:r>
          </w:p>
        </w:tc>
      </w:tr>
      <w:tr>
        <w:tc>
          <w:tcPr>
            <w:tcW w:type="dxa" w:w="300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r>
              <w:rPr>
                <w:rFonts w:ascii="Arial" w:cs="Arial" w:eastAsia="Arial" w:hAnsi="Arial"/>
                <w:sz w:val="20"/>
                <w:szCs w:val="20"/>
              </w:rPr>
              <w:t xml:space="preserve">app.py</w:t>
            </w:r>
          </w:p>
        </w:tc>
        <w:tc>
          <w:tcPr>
            <w:tcW w:type="dxa" w:w="200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r>
              <w:rPr>
                <w:rFonts w:ascii="Arial" w:cs="Arial" w:eastAsia="Arial" w:hAnsi="Arial"/>
                <w:sz w:val="20"/>
                <w:szCs w:val="20"/>
              </w:rPr>
              <w:t xml:space="preserve">Complete</w:t>
            </w:r>
          </w:p>
        </w:tc>
        <w:tc>
          <w:tcPr>
            <w:tcW w:type="dxa" w:w="436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r>
              <w:rPr>
                <w:rFonts w:ascii="Arial" w:cs="Arial" w:eastAsia="Arial" w:hAnsi="Arial"/>
                <w:sz w:val="20"/>
                <w:szCs w:val="20"/>
              </w:rPr>
              <w:t xml:space="preserve">Streamlit dashboard application with interactive charts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bird_observations.db</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Complete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SQLite database containing the cleaned observations table</w:t>
            </w:r>
          </w:p>
        </w:tc>
      </w:tr>
      <w:tr>
        <w:tc>
          <w:tcPr>
            <w:tcW w:type="dxa" w:w="300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r>
              <w:rPr>
                <w:rFonts w:ascii="Arial" w:cs="Arial" w:eastAsia="Arial" w:hAnsi="Arial"/>
                <w:sz w:val="20"/>
                <w:szCs w:val="20"/>
              </w:rPr>
              <w:t xml:space="preserve">Report (this document)</w:t>
            </w:r>
          </w:p>
        </w:tc>
        <w:tc>
          <w:tcPr>
            <w:tcW w:type="dxa" w:w="200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r>
              <w:rPr>
                <w:rFonts w:ascii="Arial" w:cs="Arial" w:eastAsia="Arial" w:hAnsi="Arial"/>
                <w:sz w:val="20"/>
                <w:szCs w:val="20"/>
              </w:rPr>
              <w:t xml:space="preserve">Complete</w:t>
            </w:r>
          </w:p>
        </w:tc>
        <w:tc>
          <w:tcPr>
            <w:tcW w:type="dxa" w:w="436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r>
              <w:rPr>
                <w:rFonts w:ascii="Arial" w:cs="Arial" w:eastAsia="Arial" w:hAnsi="Arial"/>
                <w:sz w:val="20"/>
                <w:szCs w:val="20"/>
              </w:rPr>
              <w:t xml:space="preserve">Documentation of approach, findings, and insights</w:t>
            </w:r>
          </w:p>
        </w:tc>
      </w:tr>
    </w:tbl>
    <w:p>
      <w:pPr>
        <w:spacing w:after="80" w:before="120"/>
      </w:pPr>
    </w:p>
    <w:p>
      <w:pPr>
        <w:pBdr>
          <w:bottom w:val="single" w:color="2E7D32" w:sz="4" w:space="1"/>
        </w:pBdr>
        <w:spacing w:after="120" w:before="120"/>
      </w:pPr>
    </w:p>
    <w:p>
      <w:pPr>
        <w:pStyle w:val="Heading1"/>
        <w:spacing w:after="120" w:before="360"/>
      </w:pPr>
      <w:r>
        <w:rPr>
          <w:rFonts w:ascii="Arial" w:cs="Arial" w:eastAsia="Arial" w:hAnsi="Arial"/>
          <w:b/>
          <w:bCs/>
          <w:color w:val="2E7D32"/>
          <w:sz w:val="32"/>
          <w:szCs w:val="32"/>
        </w:rPr>
        <w:t xml:space="preserve">9. Conclusion</w:t>
      </w:r>
    </w:p>
    <w:p>
      <w:pPr>
        <w:spacing w:after="80" w:before="60"/>
      </w:pPr>
      <w:r>
        <w:rPr>
          <w:rFonts w:ascii="Arial" w:cs="Arial" w:eastAsia="Arial" w:hAnsi="Arial"/>
          <w:sz w:val="22"/>
          <w:szCs w:val="22"/>
        </w:rPr>
        <w:t xml:space="preserve">This project successfully analyzed bird species observations across forest and grassland ecosystems in the National Capital Region. Through systematic data cleaning, exploratory analysis, SQL querying, and interactive visualization, the following key conclusions were drawn:</w:t>
      </w:r>
    </w:p>
    <w:p>
      <w:pPr>
        <w:pStyle w:val="ListParagraph"/>
        <w:numPr>
          <w:ilvl w:val="0"/>
          <w:numId w:val="2"/>
        </w:numPr>
        <w:spacing w:after="40" w:before="40"/>
      </w:pPr>
      <w:r>
        <w:rPr>
          <w:rFonts w:ascii="Arial" w:cs="Arial" w:eastAsia="Arial" w:hAnsi="Arial"/>
          <w:sz w:val="22"/>
          <w:szCs w:val="22"/>
        </w:rPr>
        <w:t xml:space="preserve">Forest habitats support greater bird species diversity than grassland habitats in the monitored region</w:t>
      </w:r>
    </w:p>
    <w:p>
      <w:pPr>
        <w:pStyle w:val="ListParagraph"/>
        <w:numPr>
          <w:ilvl w:val="0"/>
          <w:numId w:val="2"/>
        </w:numPr>
        <w:spacing w:after="40" w:before="40"/>
      </w:pPr>
      <w:r>
        <w:rPr>
          <w:rFonts w:ascii="Arial" w:cs="Arial" w:eastAsia="Arial" w:hAnsi="Arial"/>
          <w:sz w:val="22"/>
          <w:szCs w:val="22"/>
        </w:rPr>
        <w:t xml:space="preserve">Bird activity peaks in early morning hours and during spring and early summer months</w:t>
      </w:r>
    </w:p>
    <w:p>
      <w:pPr>
        <w:pStyle w:val="ListParagraph"/>
        <w:numPr>
          <w:ilvl w:val="0"/>
          <w:numId w:val="2"/>
        </w:numPr>
        <w:spacing w:after="40" w:before="40"/>
      </w:pPr>
      <w:r>
        <w:rPr>
          <w:rFonts w:ascii="Arial" w:cs="Arial" w:eastAsia="Arial" w:hAnsi="Arial"/>
          <w:sz w:val="22"/>
          <w:szCs w:val="22"/>
        </w:rPr>
        <w:t xml:space="preserve">Several PIF Watchlist species were identified, highlighting the conservation significance of the monitored sites</w:t>
      </w:r>
    </w:p>
    <w:p>
      <w:pPr>
        <w:pStyle w:val="ListParagraph"/>
        <w:numPr>
          <w:ilvl w:val="0"/>
          <w:numId w:val="2"/>
        </w:numPr>
        <w:spacing w:after="40" w:before="40"/>
      </w:pPr>
      <w:r>
        <w:rPr>
          <w:rFonts w:ascii="Arial" w:cs="Arial" w:eastAsia="Arial" w:hAnsi="Arial"/>
          <w:sz w:val="22"/>
          <w:szCs w:val="22"/>
        </w:rPr>
        <w:t xml:space="preserve">Biodiversity hotspot plots and admin units were identified as priority areas for conservation focus</w:t>
      </w:r>
    </w:p>
    <w:p>
      <w:pPr>
        <w:pStyle w:val="ListParagraph"/>
        <w:numPr>
          <w:ilvl w:val="0"/>
          <w:numId w:val="2"/>
        </w:numPr>
        <w:spacing w:after="40" w:before="40"/>
      </w:pPr>
      <w:r>
        <w:rPr>
          <w:rFonts w:ascii="Arial" w:cs="Arial" w:eastAsia="Arial" w:hAnsi="Arial"/>
          <w:sz w:val="22"/>
          <w:szCs w:val="22"/>
        </w:rPr>
        <w:t xml:space="preserve">Environmental conditions — particularly sky clarity, wind speed, and temperature — significantly influence observation rates</w:t>
      </w:r>
    </w:p>
    <w:p>
      <w:pPr>
        <w:spacing w:after="80" w:before="120"/>
      </w:pPr>
    </w:p>
    <w:p>
      <w:pPr>
        <w:spacing w:after="80" w:before="60"/>
      </w:pPr>
      <w:r>
        <w:rPr>
          <w:rFonts w:ascii="Arial" w:cs="Arial" w:eastAsia="Arial" w:hAnsi="Arial"/>
          <w:sz w:val="22"/>
          <w:szCs w:val="22"/>
        </w:rPr>
        <w:t xml:space="preserve">The interactive Streamlit dashboard provides a user-friendly platform for ecologists, conservationists, and land managers to explore these findings and make data-driven decisions for habitat protection and biodiversity conservation.</w:t>
      </w:r>
    </w:p>
    <w:p>
      <w:pPr>
        <w:pBdr>
          <w:bottom w:val="single" w:color="2E7D32" w:sz="4" w:space="1"/>
        </w:pBdr>
        <w:spacing w:after="120" w:before="120"/>
      </w:pPr>
    </w:p>
    <w:p>
      <w:pPr>
        <w:spacing w:after="0" w:before="360"/>
        <w:jc w:val="center"/>
      </w:pPr>
      <w:r>
        <w:rPr>
          <w:rFonts w:ascii="Arial" w:cs="Arial" w:eastAsia="Arial" w:hAnsi="Arial"/>
          <w:i/>
          <w:iCs/>
          <w:color w:val="888888"/>
          <w:sz w:val="18"/>
          <w:szCs w:val="18"/>
        </w:rPr>
        <w:t xml:space="preserve">Bird Species Observation Analysis | NCRN Bird Monitoring Program | 2018</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2026-05-04T20:50:55.200Z</dcterms:created>
  <dcterms:modified xsi:type="dcterms:W3CDTF">2026-05-04T20:50:55.200Z</dcterms:modified>
</cp:coreProperties>
</file>

<file path=docProps/custom.xml><?xml version="1.0" encoding="utf-8"?>
<Properties xmlns="http://schemas.openxmlformats.org/officeDocument/2006/custom-properties" xmlns:vt="http://schemas.openxmlformats.org/officeDocument/2006/docPropsVTypes"/>
</file>