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ACF16B9">
      <w:pPr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产品购销合同</w:t>
      </w:r>
    </w:p>
    <w:p w14:paraId="05A78A4E">
      <w:pPr>
        <w:jc w:val="center"/>
        <w:rPr>
          <w:rFonts w:hint="eastAsia" w:ascii="黑体" w:hAnsi="黑体" w:eastAsia="黑体"/>
          <w:sz w:val="36"/>
          <w:szCs w:val="36"/>
        </w:rPr>
      </w:pPr>
    </w:p>
    <w:p w14:paraId="077196AD">
      <w:pPr>
        <w:rPr>
          <w:rFonts w:hint="default" w:ascii="宋体" w:hAnsi="宋体" w:eastAsia="宋体"/>
          <w:lang w:val="en-US" w:eastAsia="zh-CN"/>
        </w:rPr>
      </w:pPr>
      <w:r>
        <w:t>甲方（买方）：{buyer_name}            合同编号：{no}</w:t>
      </w:r>
    </w:p>
    <w:p w14:paraId="2BAE1123">
      <w:pPr>
        <w:ind w:left="176" w:leftChars="84" w:firstLine="2"/>
        <w:rPr>
          <w:u w:val="single"/>
        </w:rPr>
      </w:pPr>
    </w:p>
    <w:p w14:paraId="4FD43E96">
      <w:r>
        <w:t>乙方（卖方）：无锡库叉搬运设备有限公司               签定时间：{sign_date}</w:t>
      </w:r>
    </w:p>
    <w:p w14:paraId="1C71D64A">
      <w:pPr>
        <w:ind w:firstLine="420" w:firstLineChars="200"/>
      </w:pPr>
    </w:p>
    <w:p w14:paraId="56368789">
      <w:pPr>
        <w:ind w:firstLine="420" w:firstLineChars="200"/>
      </w:pPr>
      <w:r>
        <w:rPr>
          <w:rFonts w:hint="eastAsia"/>
        </w:rPr>
        <w:t>为明确甲乙双方各自的权利义务，甲、乙双方本着平等、友好、互利互惠、共同发展的原则，经协商一致同意达成如下条款，双方承诺共同信守执行。</w:t>
      </w:r>
    </w:p>
    <w:p w14:paraId="04FA6485">
      <w:r>
        <w:rPr>
          <w:rFonts w:hint="eastAsia"/>
        </w:rPr>
        <w:t>一、总则:</w:t>
      </w:r>
    </w:p>
    <w:p w14:paraId="14EEFC50">
      <w:pPr>
        <w:ind w:firstLine="420" w:firstLineChars="200"/>
      </w:pPr>
      <w:r>
        <w:rPr>
          <w:rFonts w:hint="eastAsia"/>
        </w:rPr>
        <w:t>乙方向甲方提供货物，双方在进行合作期间，均应严格按本合同履行应尽义务。合同买卖内容:</w:t>
      </w:r>
    </w:p>
    <w:tbl>
      <w:tblPr>
        <w:tblStyle w:val="2"/>
        <w:tblW w:w="9277" w:type="dxa"/>
        <w:tblInd w:w="-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29"/>
        <w:gridCol w:w="982"/>
        <w:gridCol w:w="1065"/>
        <w:gridCol w:w="1310"/>
        <w:gridCol w:w="1242"/>
        <w:gridCol w:w="1299"/>
      </w:tblGrid>
      <w:tr w14:paraId="07DB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F52532B">
            <w:pPr>
              <w:jc w:val="center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44D64C1">
            <w:pPr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81EE235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3D8D788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0D152CC">
            <w:pPr>
              <w:jc w:val="center"/>
            </w:pPr>
            <w:r>
              <w:rPr>
                <w:rFonts w:hint="eastAsia"/>
              </w:rPr>
              <w:t>单价（元）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9624682">
            <w:pPr>
              <w:jc w:val="center"/>
            </w:pPr>
            <w:r>
              <w:rPr>
                <w:rFonts w:hint="eastAsia"/>
              </w:rPr>
              <w:t>金额（元）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A37C05E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1203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3685E2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{#items}{name}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FC7B50B">
            <w:pPr>
              <w:jc w:val="center"/>
              <w:rPr>
                <w:rFonts w:hint="eastAsia"/>
                <w:kern w:val="0"/>
                <w:sz w:val="20"/>
                <w:lang w:val="en-US" w:eastAsia="zh-CN"/>
              </w:rPr>
            </w:pPr>
            <w:r>
              <w:t>{spec}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B581D4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{unit}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E689F1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{qty}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EACDF5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{unit_price}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9011B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{amount}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A8E5945">
            <w:pPr>
              <w:jc w:val="center"/>
            </w:pPr>
            <w:r>
              <w:t>{remark}{/items}</w:t>
            </w:r>
          </w:p>
        </w:tc>
      </w:tr>
      <w:tr w14:paraId="4916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673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5147F17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合计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E5C5B1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{total}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820457F">
            <w:pPr>
              <w:jc w:val="center"/>
            </w:pPr>
          </w:p>
        </w:tc>
      </w:tr>
      <w:tr w14:paraId="15F39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927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F3240FB">
            <w:pPr>
              <w:tabs>
                <w:tab w:val="left" w:pos="634"/>
              </w:tabs>
              <w:jc w:val="center"/>
              <w:rPr>
                <w:rFonts w:eastAsiaTheme="minorEastAsia"/>
              </w:rPr>
            </w:pPr>
            <w:r>
              <w:t>合计人民币金额（大写）：{amount_cn}</w:t>
            </w:r>
          </w:p>
        </w:tc>
      </w:tr>
    </w:tbl>
    <w:p w14:paraId="11214E3F"/>
    <w:p w14:paraId="6DB50978">
      <w:pPr>
        <w:numPr>
          <w:ilvl w:val="0"/>
          <w:numId w:val="1"/>
        </w:numPr>
      </w:pPr>
      <w:r>
        <w:rPr>
          <w:rFonts w:hint="eastAsia"/>
        </w:rPr>
        <w:t>质量要求和技术标准：乙方保证所提供的产品符合样品各项技术指标和要求，乙方提供的产品质保期为一年(易损件除外);</w:t>
      </w:r>
    </w:p>
    <w:p w14:paraId="553938ED">
      <w:pPr>
        <w:numPr>
          <w:ilvl w:val="0"/>
          <w:numId w:val="1"/>
        </w:numPr>
      </w:pPr>
      <w:r>
        <w:rPr>
          <w:rFonts w:hint="eastAsia"/>
        </w:rPr>
        <w:t>包装要求：</w:t>
      </w:r>
      <w:r>
        <w:rPr>
          <w:rFonts w:hint="eastAsia" w:ascii="宋体" w:hAnsi="宋体"/>
        </w:rPr>
        <w:t>乙方提供可对产品起到良好的保护作用包装。</w:t>
      </w:r>
    </w:p>
    <w:p w14:paraId="0F49D183">
      <w:pPr>
        <w:numPr>
          <w:ilvl w:val="0"/>
          <w:numId w:val="1"/>
        </w:numPr>
      </w:pPr>
      <w:r>
        <w:rPr>
          <w:rFonts w:hint="eastAsia"/>
        </w:rPr>
        <w:t>货物所有权自发货之日起转移，但甲方未履行按时支付货款义务时，货物属于乙方所有。</w:t>
      </w:r>
    </w:p>
    <w:p w14:paraId="1DF75A45">
      <w:pPr>
        <w:numPr>
          <w:ilvl w:val="0"/>
          <w:numId w:val="1"/>
        </w:numPr>
      </w:pPr>
      <w:r>
        <w:rPr>
          <w:rFonts w:hint="eastAsia"/>
        </w:rPr>
        <w:t>交货地点和方式：乙方委托物流公司代办运输至甲方指定地点，运输费用由乙方承担。</w:t>
      </w:r>
    </w:p>
    <w:p w14:paraId="354ECE14">
      <w:pPr>
        <w:numPr>
          <w:ilvl w:val="0"/>
          <w:numId w:val="1"/>
        </w:numPr>
      </w:pPr>
      <w:r>
        <w:rPr>
          <w:rFonts w:hint="eastAsia"/>
        </w:rPr>
        <w:t>交货日期：款到后2-7</w:t>
      </w:r>
      <w:r>
        <w:rPr>
          <w:rFonts w:hint="eastAsia" w:ascii="宋体" w:hAnsi="宋体"/>
        </w:rPr>
        <w:t>个工作日。</w:t>
      </w:r>
    </w:p>
    <w:p w14:paraId="2B4493E8">
      <w:pPr>
        <w:numPr>
          <w:ilvl w:val="0"/>
          <w:numId w:val="1"/>
        </w:numPr>
      </w:pPr>
      <w:r>
        <w:rPr>
          <w:rFonts w:hint="eastAsia"/>
        </w:rPr>
        <w:t>验收方式、地点及提出质量异议期限：型号、数量等外观瑕疵，甲方在收货时验收。产品质量问题等隐蔽瑕疵，甲方在收货后七天内书面提出，否则视为验收合格。</w:t>
      </w:r>
    </w:p>
    <w:p w14:paraId="00EAFF6E">
      <w:pPr>
        <w:numPr>
          <w:ilvl w:val="0"/>
          <w:numId w:val="1"/>
        </w:numPr>
      </w:pPr>
      <w:r>
        <w:rPr>
          <w:rFonts w:hint="eastAsia"/>
        </w:rPr>
        <w:t>结算方式及期限：</w:t>
      </w:r>
      <w:r>
        <w:rPr>
          <w:rFonts w:hint="eastAsia" w:ascii="宋体" w:hAnsi="宋体"/>
        </w:rPr>
        <w:t>合同签订后支付全部货款。</w:t>
      </w:r>
    </w:p>
    <w:p w14:paraId="415D0586">
      <w:pPr>
        <w:numPr>
          <w:ilvl w:val="0"/>
          <w:numId w:val="1"/>
        </w:numPr>
      </w:pPr>
      <w:r>
        <w:rPr>
          <w:rFonts w:hint="eastAsia"/>
        </w:rPr>
        <w:t>解决合同纠纷的方式：双方协商解决；解决不成，</w:t>
      </w:r>
      <w:r>
        <w:rPr>
          <w:rFonts w:hint="eastAsia" w:ascii="宋体" w:hAnsi="宋体"/>
        </w:rPr>
        <w:t>提交起诉方所在地人民法院</w:t>
      </w:r>
      <w:r>
        <w:rPr>
          <w:rFonts w:hint="eastAsia"/>
        </w:rPr>
        <w:t>诉讼解决。</w:t>
      </w:r>
    </w:p>
    <w:p w14:paraId="28A9C943">
      <w:pPr>
        <w:numPr>
          <w:ilvl w:val="0"/>
          <w:numId w:val="1"/>
        </w:numPr>
      </w:pPr>
      <w:r>
        <w:rPr>
          <w:rFonts w:hint="eastAsia"/>
        </w:rPr>
        <w:t>本合同的传真件或原件双方签字或者盖章后生效，均具有同等法律效力。</w:t>
      </w:r>
    </w:p>
    <w:tbl>
      <w:tblPr>
        <w:tblStyle w:val="2"/>
        <w:tblpPr w:leftFromText="180" w:rightFromText="180" w:vertAnchor="text" w:horzAnchor="page" w:tblpX="1398" w:tblpY="593"/>
        <w:tblOverlap w:val="never"/>
        <w:tblW w:w="97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5"/>
        <w:gridCol w:w="5072"/>
      </w:tblGrid>
      <w:tr w14:paraId="168E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0" w:hRule="atLeast"/>
        </w:trPr>
        <w:tc>
          <w:tcPr>
            <w:tcW w:w="4715" w:type="dxa"/>
          </w:tcPr>
          <w:p w14:paraId="0E796ACE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t>甲方：{buyer_name}</w:t>
            </w:r>
          </w:p>
          <w:p w14:paraId="3C2C092C">
            <w:pPr>
              <w:jc w:val="left"/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t>单位地址:{buyer_addr}</w:t>
            </w:r>
          </w:p>
          <w:p w14:paraId="16D17375">
            <w:pPr>
              <w:jc w:val="left"/>
              <w:rPr>
                <w:rFonts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t>开户银行：{buyer_bank}</w:t>
            </w:r>
          </w:p>
          <w:p w14:paraId="75CD93AC">
            <w:pPr>
              <w:jc w:val="left"/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t>账  号：{buyer_account}</w:t>
            </w:r>
          </w:p>
          <w:p w14:paraId="46B16A04">
            <w:pPr>
              <w:jc w:val="left"/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t>税  号：{buyer_tax}</w:t>
            </w:r>
          </w:p>
          <w:p w14:paraId="02A6E3CC">
            <w:pPr>
              <w:jc w:val="left"/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t>电  话：{buyer_phone}</w:t>
            </w:r>
          </w:p>
          <w:p w14:paraId="2009D196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授权代表签署：</w:t>
            </w:r>
          </w:p>
        </w:tc>
        <w:tc>
          <w:tcPr>
            <w:tcW w:w="5072" w:type="dxa"/>
          </w:tcPr>
          <w:p w14:paraId="083F1D39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乙   方：无锡库叉搬运设备有限公司</w:t>
            </w:r>
          </w:p>
          <w:p w14:paraId="7850D4AB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单位地址：无锡惠山区清研路12号华清创新园12号</w:t>
            </w:r>
          </w:p>
          <w:p w14:paraId="4FFB9077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开户银行：江苏银行无锡惠山支行</w:t>
            </w:r>
          </w:p>
          <w:p w14:paraId="00E21840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账    号：21810188000301036</w:t>
            </w:r>
          </w:p>
          <w:p w14:paraId="7CC8FBC1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税    号：91320206MACQLQYE99</w:t>
            </w:r>
          </w:p>
          <w:p w14:paraId="456F1745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电    话：0510-88992198</w:t>
            </w:r>
          </w:p>
          <w:p w14:paraId="51DC96B2">
            <w:pP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36"/>
                <w:sz w:val="21"/>
                <w:szCs w:val="21"/>
              </w:rPr>
              <w:t>授权代表签署：</w:t>
            </w:r>
          </w:p>
        </w:tc>
      </w:tr>
    </w:tbl>
    <w:p w14:paraId="60FC3E49">
      <w:pPr>
        <w:rPr>
          <w:rFonts w:hint="default" w:eastAsia="宋体"/>
          <w:lang w:val="en-US" w:eastAsia="zh-CN"/>
        </w:rPr>
      </w:pPr>
    </w:p>
    <w:p w14:paraId="47EE5454"/>
    <w:p w14:paraId="1D26043E"/>
    <w:p w14:paraId="567D7D50"/>
    <w:p w14:paraId="65CA3AAD">
      <w:pPr>
        <w:rPr>
          <w:rFonts w:hint="eastAsia" w:ascii="宋体" w:hAnsi="宋体"/>
        </w:rPr>
      </w:pPr>
    </w:p>
    <w:p w14:paraId="273D4825">
      <w:pPr>
        <w:rPr>
          <w:rFonts w:hint="eastAsia" w:ascii="宋体" w:hAnsi="宋体"/>
        </w:rPr>
      </w:pPr>
      <w:r>
        <w:rPr>
          <w:rFonts w:hint="eastAsia" w:ascii="宋体" w:hAnsi="宋体"/>
        </w:rPr>
        <w:t>附件：售后维修</w:t>
      </w:r>
    </w:p>
    <w:p w14:paraId="7505845C">
      <w:pPr>
        <w:rPr>
          <w:rFonts w:hint="eastAsia" w:ascii="宋体" w:hAnsi="宋体"/>
        </w:rPr>
      </w:pPr>
    </w:p>
    <w:p w14:paraId="6FB3C437">
      <w:pPr>
        <w:rPr>
          <w:rFonts w:hint="eastAsia" w:ascii="宋体" w:hAnsi="宋体"/>
        </w:rPr>
      </w:pPr>
      <w:r>
        <w:rPr>
          <w:rFonts w:hint="eastAsia" w:ascii="宋体" w:hAnsi="宋体"/>
        </w:rPr>
        <w:t>所有产品经过工厂专业的检验人员检测合格后才能发货，产品在质保期内如果出现需要维修的情况，请先联系售后服务人员，确定维修方案或寄修配件!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2117"/>
        <w:gridCol w:w="2170"/>
        <w:gridCol w:w="2118"/>
      </w:tblGrid>
      <w:tr w14:paraId="35D8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670" w:type="dxa"/>
            <w:vAlign w:val="center"/>
          </w:tcPr>
          <w:p w14:paraId="5E7B697D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保修项目</w:t>
            </w:r>
          </w:p>
        </w:tc>
        <w:tc>
          <w:tcPr>
            <w:tcW w:w="2670" w:type="dxa"/>
            <w:vAlign w:val="center"/>
          </w:tcPr>
          <w:p w14:paraId="3F8AD5D3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保修时间</w:t>
            </w:r>
          </w:p>
        </w:tc>
        <w:tc>
          <w:tcPr>
            <w:tcW w:w="2671" w:type="dxa"/>
            <w:vAlign w:val="center"/>
          </w:tcPr>
          <w:p w14:paraId="4C39CB54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保修范围</w:t>
            </w:r>
          </w:p>
        </w:tc>
        <w:tc>
          <w:tcPr>
            <w:tcW w:w="2671" w:type="dxa"/>
            <w:vAlign w:val="center"/>
          </w:tcPr>
          <w:p w14:paraId="603A40E3">
            <w:pPr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维保方案</w:t>
            </w:r>
          </w:p>
        </w:tc>
      </w:tr>
      <w:tr w14:paraId="48C77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</w:trPr>
        <w:tc>
          <w:tcPr>
            <w:tcW w:w="2670" w:type="dxa"/>
            <w:vAlign w:val="center"/>
          </w:tcPr>
          <w:p w14:paraId="40BBB4B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电池</w:t>
            </w:r>
          </w:p>
        </w:tc>
        <w:tc>
          <w:tcPr>
            <w:tcW w:w="8012" w:type="dxa"/>
            <w:gridSpan w:val="3"/>
            <w:vAlign w:val="center"/>
          </w:tcPr>
          <w:p w14:paraId="7C118FD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1年内检测容量低于额定容量60%。免费换新，2年内电池无法正常充放电免费维修，帮解决电池正常使用。(人为碰撞损坏、不正确使用充电器、浸水、标签撕毁等不予保修</w:t>
            </w:r>
          </w:p>
        </w:tc>
      </w:tr>
      <w:tr w14:paraId="461B0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2653C86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电机</w:t>
            </w:r>
          </w:p>
        </w:tc>
        <w:tc>
          <w:tcPr>
            <w:tcW w:w="2670" w:type="dxa"/>
            <w:vAlign w:val="center"/>
          </w:tcPr>
          <w:p w14:paraId="773D1C2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1年</w:t>
            </w:r>
          </w:p>
        </w:tc>
        <w:tc>
          <w:tcPr>
            <w:tcW w:w="2671" w:type="dxa"/>
            <w:vAlign w:val="center"/>
          </w:tcPr>
          <w:p w14:paraId="7E6D9EC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电机故障</w:t>
            </w:r>
          </w:p>
          <w:p w14:paraId="4E70B1A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霍尔故障</w:t>
            </w:r>
          </w:p>
        </w:tc>
        <w:tc>
          <w:tcPr>
            <w:tcW w:w="2671" w:type="dxa"/>
            <w:vAlign w:val="center"/>
          </w:tcPr>
          <w:p w14:paraId="545B1AA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寄修或换新</w:t>
            </w:r>
          </w:p>
        </w:tc>
      </w:tr>
      <w:tr w14:paraId="4DF1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 w14:paraId="14E60AF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控制器</w:t>
            </w:r>
          </w:p>
        </w:tc>
        <w:tc>
          <w:tcPr>
            <w:tcW w:w="2670" w:type="dxa"/>
            <w:vAlign w:val="center"/>
          </w:tcPr>
          <w:p w14:paraId="5840876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1年</w:t>
            </w:r>
          </w:p>
        </w:tc>
        <w:tc>
          <w:tcPr>
            <w:tcW w:w="2671" w:type="dxa"/>
            <w:vAlign w:val="center"/>
          </w:tcPr>
          <w:p w14:paraId="3E96EE5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故障代码报警</w:t>
            </w:r>
          </w:p>
          <w:p w14:paraId="3F42E98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无法开机行走</w:t>
            </w:r>
          </w:p>
        </w:tc>
        <w:tc>
          <w:tcPr>
            <w:tcW w:w="2671" w:type="dxa"/>
            <w:vAlign w:val="center"/>
          </w:tcPr>
          <w:p w14:paraId="0505E36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寄修或换新</w:t>
            </w:r>
          </w:p>
        </w:tc>
      </w:tr>
      <w:tr w14:paraId="1AB1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2670" w:type="dxa"/>
            <w:vAlign w:val="center"/>
          </w:tcPr>
          <w:p w14:paraId="3F8E80B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加速器</w:t>
            </w:r>
          </w:p>
        </w:tc>
        <w:tc>
          <w:tcPr>
            <w:tcW w:w="2670" w:type="dxa"/>
            <w:vAlign w:val="center"/>
          </w:tcPr>
          <w:p w14:paraId="58EDFD5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1年</w:t>
            </w:r>
          </w:p>
        </w:tc>
        <w:tc>
          <w:tcPr>
            <w:tcW w:w="2671" w:type="dxa"/>
            <w:vAlign w:val="center"/>
          </w:tcPr>
          <w:p w14:paraId="3D1D10A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故障报警，无</w:t>
            </w:r>
          </w:p>
          <w:p w14:paraId="1F13CD6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法正常使用</w:t>
            </w:r>
          </w:p>
        </w:tc>
        <w:tc>
          <w:tcPr>
            <w:tcW w:w="2671" w:type="dxa"/>
            <w:vAlign w:val="center"/>
          </w:tcPr>
          <w:p w14:paraId="55BBA4E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寄修或换新</w:t>
            </w:r>
          </w:p>
        </w:tc>
      </w:tr>
      <w:tr w14:paraId="2582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2670" w:type="dxa"/>
            <w:vAlign w:val="center"/>
          </w:tcPr>
          <w:p w14:paraId="2216A78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液压单元</w:t>
            </w:r>
          </w:p>
        </w:tc>
        <w:tc>
          <w:tcPr>
            <w:tcW w:w="2670" w:type="dxa"/>
            <w:vAlign w:val="center"/>
          </w:tcPr>
          <w:p w14:paraId="5A26C76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1年</w:t>
            </w:r>
          </w:p>
        </w:tc>
        <w:tc>
          <w:tcPr>
            <w:tcW w:w="2671" w:type="dxa"/>
            <w:vAlign w:val="center"/>
          </w:tcPr>
          <w:p w14:paraId="1CBCABF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漏油，无法上升</w:t>
            </w:r>
          </w:p>
        </w:tc>
        <w:tc>
          <w:tcPr>
            <w:tcW w:w="2671" w:type="dxa"/>
            <w:vAlign w:val="center"/>
          </w:tcPr>
          <w:p w14:paraId="0D1CD0C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寄修或换新</w:t>
            </w:r>
          </w:p>
        </w:tc>
      </w:tr>
      <w:tr w14:paraId="59E84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</w:trPr>
        <w:tc>
          <w:tcPr>
            <w:tcW w:w="10682" w:type="dxa"/>
            <w:gridSpan w:val="4"/>
            <w:vAlign w:val="center"/>
          </w:tcPr>
          <w:p w14:paraId="1648B0F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产品自出厂之日起，车架、轮子、齿轮、线材等易损件不质保，其它问题或</w:t>
            </w:r>
          </w:p>
          <w:p w14:paraId="7DB9BF2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故障本公司提供免费技术支持和售后服务。</w:t>
            </w:r>
          </w:p>
        </w:tc>
      </w:tr>
    </w:tbl>
    <w:p w14:paraId="3E9A53A6">
      <w:pPr>
        <w:rPr>
          <w:rFonts w:hint="eastAsia" w:ascii="宋体" w:hAnsi="宋体"/>
        </w:rPr>
      </w:pPr>
    </w:p>
    <w:p w14:paraId="63600DCF"/>
    <w:sectPr>
      <w:pgSz w:w="11906" w:h="16838"/>
      <w:pgMar w:top="1020" w:right="1800" w:bottom="89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2889B"/>
    <w:multiLevelType w:val="singleLevel"/>
    <w:tmpl w:val="6CE2889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25BE1"/>
    <w:rsid w:val="00172A27"/>
    <w:rsid w:val="00181DB8"/>
    <w:rsid w:val="002D1FF8"/>
    <w:rsid w:val="00304398"/>
    <w:rsid w:val="00375D78"/>
    <w:rsid w:val="00407259"/>
    <w:rsid w:val="00441096"/>
    <w:rsid w:val="005F74AA"/>
    <w:rsid w:val="007C647D"/>
    <w:rsid w:val="008209D0"/>
    <w:rsid w:val="008B773B"/>
    <w:rsid w:val="00907C80"/>
    <w:rsid w:val="00974B05"/>
    <w:rsid w:val="009C0502"/>
    <w:rsid w:val="00B12946"/>
    <w:rsid w:val="00C43C2A"/>
    <w:rsid w:val="00E1010B"/>
    <w:rsid w:val="00ED03F4"/>
    <w:rsid w:val="01500973"/>
    <w:rsid w:val="01D350C9"/>
    <w:rsid w:val="02400957"/>
    <w:rsid w:val="02641C78"/>
    <w:rsid w:val="04640655"/>
    <w:rsid w:val="04F76DD4"/>
    <w:rsid w:val="06D17C19"/>
    <w:rsid w:val="12B46931"/>
    <w:rsid w:val="18280DA4"/>
    <w:rsid w:val="1CE617B0"/>
    <w:rsid w:val="1CEE2F53"/>
    <w:rsid w:val="1EDF6DFF"/>
    <w:rsid w:val="1EF328AA"/>
    <w:rsid w:val="1F775289"/>
    <w:rsid w:val="21A2059B"/>
    <w:rsid w:val="231F5A1C"/>
    <w:rsid w:val="232E07E1"/>
    <w:rsid w:val="249917FE"/>
    <w:rsid w:val="25130BC6"/>
    <w:rsid w:val="26434B7C"/>
    <w:rsid w:val="26F55142"/>
    <w:rsid w:val="27C05431"/>
    <w:rsid w:val="28017DE6"/>
    <w:rsid w:val="281C4C20"/>
    <w:rsid w:val="28F03D3A"/>
    <w:rsid w:val="28FE2577"/>
    <w:rsid w:val="2A3C4787"/>
    <w:rsid w:val="2AF05EF0"/>
    <w:rsid w:val="2AFB6D6E"/>
    <w:rsid w:val="2B312790"/>
    <w:rsid w:val="2C063EC4"/>
    <w:rsid w:val="2DEA5911"/>
    <w:rsid w:val="2EE0091C"/>
    <w:rsid w:val="2F500090"/>
    <w:rsid w:val="2F6D5BD8"/>
    <w:rsid w:val="305A62E5"/>
    <w:rsid w:val="38F472EF"/>
    <w:rsid w:val="3DD603A7"/>
    <w:rsid w:val="3E9B4698"/>
    <w:rsid w:val="3EAD43CC"/>
    <w:rsid w:val="3FF27CBD"/>
    <w:rsid w:val="3FF34060"/>
    <w:rsid w:val="40204668"/>
    <w:rsid w:val="40384169"/>
    <w:rsid w:val="40D66793"/>
    <w:rsid w:val="456A6B72"/>
    <w:rsid w:val="4580494E"/>
    <w:rsid w:val="45B40EB6"/>
    <w:rsid w:val="481E3C44"/>
    <w:rsid w:val="485250CE"/>
    <w:rsid w:val="48F30C2D"/>
    <w:rsid w:val="4ABA6F52"/>
    <w:rsid w:val="4D970721"/>
    <w:rsid w:val="4ED82D9F"/>
    <w:rsid w:val="518160E1"/>
    <w:rsid w:val="53B3698A"/>
    <w:rsid w:val="53D55AFF"/>
    <w:rsid w:val="54923C9E"/>
    <w:rsid w:val="54BC7DB6"/>
    <w:rsid w:val="55050666"/>
    <w:rsid w:val="560234DB"/>
    <w:rsid w:val="59BEA153"/>
    <w:rsid w:val="5A811E97"/>
    <w:rsid w:val="5C9014E4"/>
    <w:rsid w:val="5CBF7CCA"/>
    <w:rsid w:val="5ED660A5"/>
    <w:rsid w:val="5F1E1AD4"/>
    <w:rsid w:val="623721D4"/>
    <w:rsid w:val="65817895"/>
    <w:rsid w:val="68E3372E"/>
    <w:rsid w:val="69B67D29"/>
    <w:rsid w:val="69E0472C"/>
    <w:rsid w:val="6B4F3F91"/>
    <w:rsid w:val="6C7F2654"/>
    <w:rsid w:val="6DA5433C"/>
    <w:rsid w:val="6F1E7F02"/>
    <w:rsid w:val="717B5AE0"/>
    <w:rsid w:val="73353A6C"/>
    <w:rsid w:val="76EE762E"/>
    <w:rsid w:val="77336515"/>
    <w:rsid w:val="77E048EF"/>
    <w:rsid w:val="78D12489"/>
    <w:rsid w:val="7CF7E8F4"/>
    <w:rsid w:val="7E3239CA"/>
    <w:rsid w:val="7EAB72D9"/>
    <w:rsid w:val="7F2D7CEE"/>
    <w:rsid w:val="D2B35E4C"/>
    <w:rsid w:val="F77B8D77"/>
    <w:rsid w:val="FCFF0927"/>
    <w:rsid w:val="FFCF9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iPriority="0" w:name="Table Simple 1"/>
    <w:lsdException w:qFormat="1" w:uiPriority="0" w:name="Table Simple 2"/>
    <w:lsdException w:qFormat="1" w:uiPriority="0" w:name="Table Simple 3"/>
    <w:lsdException w:qFormat="1" w:uiPriority="0" w:name="Table Classic 1"/>
    <w:lsdException w:qFormat="1" w:uiPriority="0" w:name="Table Classic 2"/>
    <w:lsdException w:qFormat="1" w:uiPriority="0" w:name="Table Classic 3"/>
    <w:lsdException w:qFormat="1" w:uiPriority="0" w:name="Table Classic 4"/>
    <w:lsdException w:qFormat="1" w:uiPriority="0" w:name="Table Colorful 1"/>
    <w:lsdException w:qFormat="1" w:uiPriority="0" w:name="Table Colorful 2"/>
    <w:lsdException w:qFormat="1" w:uiPriority="0" w:name="Table Colorful 3"/>
    <w:lsdException w:qFormat="1" w:uiPriority="0" w:name="Table Columns 1"/>
    <w:lsdException w:qFormat="1" w:uiPriority="0" w:name="Table Columns 2"/>
    <w:lsdException w:qFormat="1" w:uiPriority="0" w:name="Table Columns 3"/>
    <w:lsdException w:qFormat="1" w:uiPriority="0" w:name="Table Columns 4"/>
    <w:lsdException w:qFormat="1" w:uiPriority="0" w:name="Table Columns 5"/>
    <w:lsdException w:qFormat="1" w:uiPriority="0" w:name="Table Grid 1"/>
    <w:lsdException w:qFormat="1" w:uiPriority="0" w:name="Table Grid 2"/>
    <w:lsdException w:qFormat="1" w:uiPriority="0" w:name="Table Grid 3"/>
    <w:lsdException w:qFormat="1" w:uiPriority="0" w:name="Table Grid 4"/>
    <w:lsdException w:qFormat="1" w:uiPriority="0" w:name="Table Grid 5"/>
    <w:lsdException w:qFormat="1" w:uiPriority="0" w:name="Table Grid 6"/>
    <w:lsdException w:qFormat="1" w:uiPriority="0" w:name="Table Grid 7"/>
    <w:lsdException w:qFormat="1" w:uiPriority="0" w:name="Table Grid 8"/>
    <w:lsdException w:qFormat="1" w:uiPriority="0" w:name="Table List 1"/>
    <w:lsdException w:qFormat="1" w:uiPriority="0" w:name="Table List 2"/>
    <w:lsdException w:qFormat="1" w:uiPriority="0" w:name="Table List 3"/>
    <w:lsdException w:qFormat="1" w:uiPriority="0" w:name="Table List 4"/>
    <w:lsdException w:qFormat="1" w:uiPriority="0" w:name="Table List 5"/>
    <w:lsdException w:qFormat="1" w:uiPriority="0" w:name="Table List 6"/>
    <w:lsdException w:qFormat="1" w:uiPriority="0" w:name="Table List 7"/>
    <w:lsdException w:qFormat="1" w:uiPriority="0" w:name="Table List 8"/>
    <w:lsdException w:qFormat="1" w:uiPriority="0" w:name="Table 3D effects 1"/>
    <w:lsdException w:qFormat="1" w:uiPriority="0" w:name="Table 3D effects 2"/>
    <w:lsdException w:qFormat="1" w:uiPriority="0" w:name="Table 3D effects 3"/>
    <w:lsdException w:qFormat="1" w:uiPriority="0" w:name="Table Contemporary"/>
    <w:lsdException w:qFormat="1" w:uiPriority="0" w:name="Table Elegant"/>
    <w:lsdException w:qFormat="1" w:uiPriority="0" w:name="Table Professional"/>
    <w:lsdException w:qFormat="1" w:uiPriority="0" w:name="Table Subtle 1"/>
    <w:lsdException w:qFormat="1" w:uiPriority="0" w:name="Table Subtle 2"/>
    <w:lsdException w:qFormat="1" w:uiPriority="0" w:name="Table Web 1"/>
    <w:lsdException w:qFormat="1" w:uiPriority="0" w:name="Table Web 2"/>
    <w:lsdException w:qFormat="1"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1004</Words>
  <Characters>1147</Characters>
  <Lines>9</Lines>
  <Paragraphs>2</Paragraphs>
  <TotalTime>1</TotalTime>
  <ScaleCrop>false</ScaleCrop>
  <LinksUpToDate>false</LinksUpToDate>
  <CharactersWithSpaces>1198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2025-04-17T00:31:00Z</dcterms:created>
  <dc:creator>dell</dc:creator>
  <cp:lastModifiedBy>朱萍</cp:lastModifiedBy>
  <cp:lastPrinted>2025-06-11T06:50:00Z</cp:lastPrinted>
  <dcterms:modified xsi:type="dcterms:W3CDTF">2026-07-10T02:49:47Z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D6EB7EF3EC874F0E9FE6DD0F1F379EF6_13</vt:lpwstr>
  </property>
  <property fmtid="{D5CDD505-2E9C-101B-9397-08002B2CF9AE}" pid="4" name="KSOTemplateDocerSaveRecord">
    <vt:lpwstr>eyJoZGlkIjoiNTMxN2Q3ZjQwN2JiNDAwYTZhYjhhYjkzMWFkMTFhYmYiLCJ1c2VySWQiOiIxNDAzMDg4NzI3In0=</vt:lpwstr>
  </property>
</Properties>
</file>