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2E7D32"/>
          <w:sz w:val="36"/>
          <w:szCs w:val="36"/>
        </w:rPr>
        <w:t xml:space="preserve">Rhea Data Science Internship Assessment</w:t>
      </w:r>
    </w:p>
    <w:p>
      <w:pPr>
        <w:spacing w:after="60" w:before="0"/>
        <w:jc w:val="center"/>
      </w:pPr>
      <w:r>
        <w:rPr>
          <w:rFonts w:ascii="Arial" w:cs="Arial" w:eastAsia="Arial" w:hAnsi="Arial"/>
          <w:color w:val="555555"/>
          <w:sz w:val="26"/>
          <w:szCs w:val="26"/>
        </w:rPr>
        <w:t xml:space="preserve">Agricultural Soil Data Analysis Report</w:t>
      </w:r>
    </w:p>
    <w:p>
      <w:pPr>
        <w:spacing w:after="60" w:before="0"/>
        <w:jc w:val="center"/>
      </w:pPr>
      <w:r>
        <w:rPr>
          <w:rFonts w:ascii="Arial" w:cs="Arial" w:eastAsia="Arial" w:hAnsi="Arial"/>
          <w:i/>
          <w:iCs/>
          <w:color w:val="666666"/>
          <w:sz w:val="22"/>
          <w:szCs w:val="22"/>
        </w:rPr>
        <w:t xml:space="preserve">iSDA Soil Dataset | Sub-Saharan Africa</w:t>
      </w:r>
    </w:p>
    <w:p>
      <w:pPr>
        <w:spacing w:after="300" w:before="0"/>
        <w:jc w:val="center"/>
      </w:pPr>
      <w:r>
        <w:rPr>
          <w:rFonts w:ascii="Arial" w:cs="Arial" w:eastAsia="Arial" w:hAnsi="Arial"/>
          <w:color w:val="888888"/>
          <w:sz w:val="20"/>
          <w:szCs w:val="20"/>
        </w:rPr>
        <w:t xml:space="preserve">Samuel Agondeze Kisoke  |  June 2026</w:t>
      </w:r>
    </w:p>
    <w:p>
      <w:pPr>
        <w:pStyle w:val="Heading1"/>
        <w:pBdr>
          <w:bottom w:val="single" w:color="2E7D32" w:sz="6"/>
        </w:pBdr>
        <w:spacing w:after="100" w:before="280"/>
      </w:pPr>
      <w:r>
        <w:rPr>
          <w:rFonts w:ascii="Arial" w:cs="Arial" w:eastAsia="Arial" w:hAnsi="Arial"/>
          <w:b/>
          <w:bCs/>
          <w:color w:val="2E7D32"/>
          <w:sz w:val="28"/>
          <w:szCs w:val="28"/>
        </w:rPr>
        <w:t xml:space="preserve">1. Data Sourcing</w:t>
      </w:r>
    </w:p>
    <w:p>
      <w:pPr>
        <w:pStyle w:val="Heading2"/>
        <w:spacing w:after="100" w:before="180"/>
      </w:pPr>
      <w:r>
        <w:rPr>
          <w:rFonts w:ascii="Arial" w:cs="Arial" w:eastAsia="Arial" w:hAnsi="Arial"/>
          <w:b/>
          <w:bCs/>
          <w:color w:val="000000"/>
          <w:sz w:val="24"/>
          <w:szCs w:val="24"/>
        </w:rPr>
        <w:t xml:space="preserve">1.1 Dataset Selected</w:t>
      </w:r>
    </w:p>
    <w:p>
      <w:pPr>
        <w:spacing w:after="100" w:before="60"/>
        <w:jc w:val="both"/>
      </w:pPr>
      <w:r>
        <w:rPr>
          <w:rFonts w:ascii="Arial" w:cs="Arial" w:eastAsia="Arial" w:hAnsi="Arial"/>
          <w:sz w:val="20"/>
          <w:szCs w:val="20"/>
        </w:rPr>
        <w:t xml:space="preserve">Dataset: iSDA Soil Data (isda-africa.com), sourced via Kaggle.</w:t>
      </w:r>
    </w:p>
    <w:p>
      <w:pPr>
        <w:spacing w:after="100" w:before="60"/>
        <w:jc w:val="both"/>
      </w:pPr>
      <w:r>
        <w:rPr>
          <w:rFonts w:ascii="Arial" w:cs="Arial" w:eastAsia="Arial" w:hAnsi="Arial"/>
          <w:sz w:val="20"/>
          <w:szCs w:val="20"/>
        </w:rPr>
        <w:t xml:space="preserve">The iSDA Soil dataset provides machine-learning-derived soil property predictions at 30m resolution for 42 sub-Saharan African countries. The dataset covers two soil depth horizons: topsoil (0-20cm) and subsoil (20-50cm). It includes measurements for nitrogen, organic carbon, pH, calcium, magnesium, potassium, aluminium, iron, manganese, and several extractable micronutrients.</w:t>
      </w:r>
    </w:p>
    <w:p>
      <w:pPr>
        <w:pStyle w:val="Heading2"/>
        <w:spacing w:after="100" w:before="180"/>
      </w:pPr>
      <w:r>
        <w:rPr>
          <w:rFonts w:ascii="Arial" w:cs="Arial" w:eastAsia="Arial" w:hAnsi="Arial"/>
          <w:b/>
          <w:bCs/>
          <w:color w:val="000000"/>
          <w:sz w:val="24"/>
          <w:szCs w:val="24"/>
        </w:rPr>
        <w:t xml:space="preserve">1.2 Why This Dataset</w:t>
      </w:r>
    </w:p>
    <w:p>
      <w:pPr>
        <w:spacing w:after="100" w:before="60"/>
        <w:jc w:val="both"/>
      </w:pPr>
      <w:r>
        <w:rPr>
          <w:rFonts w:ascii="Arial" w:cs="Arial" w:eastAsia="Arial" w:hAnsi="Arial"/>
          <w:sz w:val="20"/>
          <w:szCs w:val="20"/>
        </w:rPr>
        <w:t xml:space="preserve">Three factors drove the selection. First, geographic relevance: the dataset maps soil conditions across sub-Saharan Africa, the primary geography where Rhea operates. Second, agronomic breadth: it includes the core soil properties that determine crop suitability, specifically pH, macronutrients (N, K, Ca, Mg), and toxicity indicators (Al, Fe). Third, recommendation system alignment: the granular spatial structure enables site-specific recommendations rather than country-level averages.</w:t>
      </w:r>
    </w:p>
    <w:p>
      <w:pPr>
        <w:pStyle w:val="Heading2"/>
        <w:spacing w:after="100" w:before="180"/>
      </w:pPr>
      <w:r>
        <w:rPr>
          <w:rFonts w:ascii="Arial" w:cs="Arial" w:eastAsia="Arial" w:hAnsi="Arial"/>
          <w:b/>
          <w:bCs/>
          <w:color w:val="000000"/>
          <w:sz w:val="24"/>
          <w:szCs w:val="24"/>
        </w:rPr>
        <w:t xml:space="preserve">1.3 Value for Agricultural Recommendations</w:t>
      </w:r>
    </w:p>
    <w:p>
      <w:pPr>
        <w:spacing w:after="100" w:before="60"/>
        <w:jc w:val="both"/>
      </w:pPr>
      <w:r>
        <w:rPr>
          <w:rFonts w:ascii="Arial" w:cs="Arial" w:eastAsia="Arial" w:hAnsi="Arial"/>
          <w:sz w:val="20"/>
          <w:szCs w:val="20"/>
        </w:rPr>
        <w:t xml:space="preserve">Soil nutrient profiles directly determine which crops can thrive at a given site. Aluminium toxicity at low pH eliminates several high-value crops. Nitrogen and carbon deficits signal fertilizer requirements. Spatial pH gradients identify zones needing lime application before planting. This dataset feeds directly into Rhea's core recommendation logic by grounding advice in measured soil chemistry rather than general regional averages.</w:t>
      </w:r>
    </w:p>
    <w:p>
      <w:r>
        <w:t xml:space="preserve"/>
      </w:r>
    </w:p>
    <w:p>
      <w:pPr>
        <w:pStyle w:val="Heading1"/>
        <w:pBdr>
          <w:bottom w:val="single" w:color="2E7D32" w:sz="6"/>
        </w:pBdr>
        <w:spacing w:after="100" w:before="280"/>
      </w:pPr>
      <w:r>
        <w:rPr>
          <w:rFonts w:ascii="Arial" w:cs="Arial" w:eastAsia="Arial" w:hAnsi="Arial"/>
          <w:b/>
          <w:bCs/>
          <w:color w:val="2E7D32"/>
          <w:sz w:val="28"/>
          <w:szCs w:val="28"/>
        </w:rPr>
        <w:t xml:space="preserve">2. Data Cleaning</w:t>
      </w:r>
    </w:p>
    <w:p>
      <w:pPr>
        <w:pStyle w:val="Heading2"/>
        <w:spacing w:after="100" w:before="180"/>
      </w:pPr>
      <w:r>
        <w:rPr>
          <w:rFonts w:ascii="Arial" w:cs="Arial" w:eastAsia="Arial" w:hAnsi="Arial"/>
          <w:b/>
          <w:bCs/>
          <w:color w:val="000000"/>
          <w:sz w:val="24"/>
          <w:szCs w:val="24"/>
        </w:rPr>
        <w:t xml:space="preserve">2.1 Issues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2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Scale</w:t>
            </w:r>
          </w:p>
        </w:tc>
        <w:tc>
          <w:tcPr>
            <w:tcW w:type="dxa" w:w="4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Taken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Duplicate rows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Found and removed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df.drop_duplicates()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Structurally missing columns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 columns (boron, EC, phosphorus, sodium, sulphur, zinc)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Dropped entirely; no imputation possible on all-null series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Partial nulls in carbon_total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Small share of rows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Median imputation; remaining nulls dropped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Horizon depth as two numeric columns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All rows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Recoded to single categorical: topsoil / subsoil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Outliers in key nutrient columns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 columns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IQR-based capping (1.5x fence) to preserve records without distortion</w:t>
            </w:r>
          </w:p>
        </w:tc>
      </w:tr>
    </w:tbl>
    <w:p>
      <w:r>
        <w:t xml:space="preserve"/>
      </w:r>
    </w:p>
    <w:p>
      <w:pPr>
        <w:pStyle w:val="Heading2"/>
        <w:spacing w:after="100" w:before="180"/>
      </w:pPr>
      <w:r>
        <w:rPr>
          <w:rFonts w:ascii="Arial" w:cs="Arial" w:eastAsia="Arial" w:hAnsi="Arial"/>
          <w:b/>
          <w:bCs/>
          <w:color w:val="000000"/>
          <w:sz w:val="24"/>
          <w:szCs w:val="24"/>
        </w:rPr>
        <w:t xml:space="preserve">2.2 Cleaning Decisions</w:t>
      </w:r>
    </w:p>
    <w:p>
      <w:pPr>
        <w:spacing w:after="100" w:before="60"/>
        <w:jc w:val="both"/>
      </w:pPr>
      <w:r>
        <w:rPr>
          <w:rFonts w:ascii="Arial" w:cs="Arial" w:eastAsia="Arial" w:hAnsi="Arial"/>
          <w:sz w:val="20"/>
          <w:szCs w:val="20"/>
        </w:rPr>
        <w:t xml:space="preserve">The six fully-null columns (boron_extractable, electrical_conductivity, phosphorus_extractable, sodium_extractable, sulphur_extractable, zinc_extractable) were dropped rather than imputed. Imputing variables with zero observed values would introduce fabricated information. These columns are noted as gaps for future data collection.</w:t>
      </w:r>
    </w:p>
    <w:p>
      <w:pPr>
        <w:spacing w:after="100" w:before="60"/>
        <w:jc w:val="both"/>
      </w:pPr>
      <w:r>
        <w:rPr>
          <w:rFonts w:ascii="Arial" w:cs="Arial" w:eastAsia="Arial" w:hAnsi="Arial"/>
          <w:sz w:val="20"/>
          <w:szCs w:val="20"/>
        </w:rPr>
        <w:t xml:space="preserve">Outlier capping used the IQR method rather than removal. Soil data contains genuine extremes, particularly at sites with volcanic parent material or heavy industrial activity. Removing these records would reduce geographic coverage. Capping at the 1.5x IQR fence retains the records while constraining the extreme values' influence on distributional analysis.</w:t>
      </w:r>
    </w:p>
    <w:p>
      <w:r>
        <w:t xml:space="preserve"/>
      </w:r>
    </w:p>
    <w:p>
      <w:pPr>
        <w:pStyle w:val="Heading1"/>
        <w:pBdr>
          <w:bottom w:val="single" w:color="2E7D32" w:sz="6"/>
        </w:pBdr>
        <w:spacing w:after="100" w:before="280"/>
      </w:pPr>
      <w:r>
        <w:rPr>
          <w:rFonts w:ascii="Arial" w:cs="Arial" w:eastAsia="Arial" w:hAnsi="Arial"/>
          <w:b/>
          <w:bCs/>
          <w:color w:val="2E7D32"/>
          <w:sz w:val="28"/>
          <w:szCs w:val="28"/>
        </w:rPr>
        <w:t xml:space="preserve">3. Exploratory Data Analysis</w:t>
      </w:r>
    </w:p>
    <w:p>
      <w:pPr>
        <w:spacing w:after="100" w:before="60"/>
        <w:jc w:val="both"/>
      </w:pPr>
      <w:r>
        <w:rPr>
          <w:rFonts w:ascii="Arial" w:cs="Arial" w:eastAsia="Arial" w:hAnsi="Arial"/>
          <w:sz w:val="20"/>
          <w:szCs w:val="20"/>
        </w:rPr>
        <w:t xml:space="preserve">Five visualizations were produced. Insights are summarized below. Charts are embedded in the accompanying Jupyter Notebook.</w:t>
      </w:r>
    </w:p>
    <w:p>
      <w:pPr>
        <w:pStyle w:val="Heading2"/>
        <w:spacing w:after="100" w:before="180"/>
      </w:pPr>
      <w:r>
        <w:rPr>
          <w:rFonts w:ascii="Arial" w:cs="Arial" w:eastAsia="Arial" w:hAnsi="Arial"/>
          <w:b/>
          <w:bCs/>
          <w:color w:val="000000"/>
          <w:sz w:val="24"/>
          <w:szCs w:val="24"/>
        </w:rPr>
        <w:t xml:space="preserve">Visualization 1: Distribution of Key Soil Nutrients</w:t>
      </w:r>
    </w:p>
    <w:p>
      <w:pPr>
        <w:spacing w:after="100" w:before="60"/>
        <w:jc w:val="both"/>
      </w:pPr>
      <w:r>
        <w:rPr>
          <w:rFonts w:ascii="Arial" w:cs="Arial" w:eastAsia="Arial" w:hAnsi="Arial"/>
          <w:sz w:val="20"/>
          <w:szCs w:val="20"/>
        </w:rPr>
        <w:t xml:space="preserve">Nutrient distributions across pH, nitrogen_total, carbon_organic, potassium_extractable, and calcium_extractable were plotted as histograms (40 bins).</w:t>
      </w:r>
    </w:p>
    <w:p>
      <w:pPr>
        <w:spacing w:after="100" w:before="60"/>
        <w:jc w:val="both"/>
      </w:pPr>
      <w:r>
        <w:rPr>
          <w:rFonts w:ascii="Arial" w:cs="Arial" w:eastAsia="Arial" w:hAnsi="Arial"/>
          <w:b/>
          <w:bCs/>
          <w:sz w:val="20"/>
          <w:szCs w:val="20"/>
        </w:rPr>
        <w:t xml:space="preserve">Insight: </w:t>
      </w:r>
      <w:r>
        <w:rPr>
          <w:rFonts w:ascii="Arial" w:cs="Arial" w:eastAsia="Arial" w:hAnsi="Arial"/>
          <w:sz w:val="20"/>
          <w:szCs w:val="20"/>
        </w:rPr>
        <w:t xml:space="preserve">All nutrient variables except pH show right skew, indicating that most sampling sites have low-to-moderate concentrations with a smaller number of very high readings. pH approaches a normal distribution, centered around 6.0. This skew pattern is typical of African soils where low organic matter inputs concentrate nutrients in scattered high-fertility patches.</w:t>
      </w:r>
    </w:p>
    <w:p>
      <w:pPr>
        <w:pStyle w:val="Heading2"/>
        <w:spacing w:after="100" w:before="180"/>
      </w:pPr>
      <w:r>
        <w:rPr>
          <w:rFonts w:ascii="Arial" w:cs="Arial" w:eastAsia="Arial" w:hAnsi="Arial"/>
          <w:b/>
          <w:bCs/>
          <w:color w:val="000000"/>
          <w:sz w:val="24"/>
          <w:szCs w:val="24"/>
        </w:rPr>
        <w:t xml:space="preserve">Visualization 2: Topsoil vs Subsoil Nutrient Comparison</w:t>
      </w:r>
    </w:p>
    <w:p>
      <w:pPr>
        <w:spacing w:after="100" w:before="60"/>
        <w:jc w:val="both"/>
      </w:pPr>
      <w:r>
        <w:rPr>
          <w:rFonts w:ascii="Arial" w:cs="Arial" w:eastAsia="Arial" w:hAnsi="Arial"/>
          <w:sz w:val="20"/>
          <w:szCs w:val="20"/>
        </w:rPr>
        <w:t xml:space="preserve">Box plots compared nitrogen_total, carbon_organic, and pH between topsoil and subsoil layers.</w:t>
      </w:r>
    </w:p>
    <w:p>
      <w:pPr>
        <w:spacing w:after="100" w:before="60"/>
        <w:jc w:val="both"/>
      </w:pPr>
      <w:r>
        <w:rPr>
          <w:rFonts w:ascii="Arial" w:cs="Arial" w:eastAsia="Arial" w:hAnsi="Arial"/>
          <w:b/>
          <w:bCs/>
          <w:sz w:val="20"/>
          <w:szCs w:val="20"/>
        </w:rPr>
        <w:t xml:space="preserve">Insight: </w:t>
      </w:r>
      <w:r>
        <w:rPr>
          <w:rFonts w:ascii="Arial" w:cs="Arial" w:eastAsia="Arial" w:hAnsi="Arial"/>
          <w:sz w:val="20"/>
          <w:szCs w:val="20"/>
        </w:rPr>
        <w:t xml:space="preserve">Topsoil records significantly higher nitrogen and organic carbon than subsoil, confirming that organic matter accumulates near the surface where root activity and decomposition are concentrated. pH is nearly equivalent across both horizons, with subsoil showing a marginally higher median. This depth pattern has practical implications: topsoil degradation from erosion or tillage directly reduces nitrogen and carbon availability.</w:t>
      </w:r>
    </w:p>
    <w:p>
      <w:pPr>
        <w:pStyle w:val="Heading2"/>
        <w:spacing w:after="100" w:before="180"/>
      </w:pPr>
      <w:r>
        <w:rPr>
          <w:rFonts w:ascii="Arial" w:cs="Arial" w:eastAsia="Arial" w:hAnsi="Arial"/>
          <w:b/>
          <w:bCs/>
          <w:color w:val="000000"/>
          <w:sz w:val="24"/>
          <w:szCs w:val="24"/>
        </w:rPr>
        <w:t xml:space="preserve">Visualization 3: Geographical Distribution of pH</w:t>
      </w:r>
    </w:p>
    <w:p>
      <w:pPr>
        <w:spacing w:after="100" w:before="60"/>
        <w:jc w:val="both"/>
      </w:pPr>
      <w:r>
        <w:rPr>
          <w:rFonts w:ascii="Arial" w:cs="Arial" w:eastAsia="Arial" w:hAnsi="Arial"/>
          <w:sz w:val="20"/>
          <w:szCs w:val="20"/>
        </w:rPr>
        <w:t xml:space="preserve">Latitude-longitude scatter colored by pH value across all sampling sites.</w:t>
      </w:r>
    </w:p>
    <w:p>
      <w:pPr>
        <w:spacing w:after="100" w:before="60"/>
        <w:jc w:val="both"/>
      </w:pPr>
      <w:r>
        <w:rPr>
          <w:rFonts w:ascii="Arial" w:cs="Arial" w:eastAsia="Arial" w:hAnsi="Arial"/>
          <w:b/>
          <w:bCs/>
          <w:sz w:val="20"/>
          <w:szCs w:val="20"/>
        </w:rPr>
        <w:t xml:space="preserve">Insight: </w:t>
      </w:r>
      <w:r>
        <w:rPr>
          <w:rFonts w:ascii="Arial" w:cs="Arial" w:eastAsia="Arial" w:hAnsi="Arial"/>
          <w:sz w:val="20"/>
          <w:szCs w:val="20"/>
        </w:rPr>
        <w:t xml:space="preserve">Acidic soils (pH below 5.5) cluster in the equatorial belt spanning West and Central Africa. Alkaline soils concentrate in the Horn of Africa and the southern tip of the continent. East Africa shows the densest sampling and the widest pH range. This spatial pattern follows precipitation gradients: high-rainfall equatorial zones leach base cations, driving acidification, while drier regions accumulate alkaline carbonates.</w:t>
      </w:r>
    </w:p>
    <w:p>
      <w:pPr>
        <w:pStyle w:val="Heading2"/>
        <w:spacing w:after="100" w:before="180"/>
      </w:pPr>
      <w:r>
        <w:rPr>
          <w:rFonts w:ascii="Arial" w:cs="Arial" w:eastAsia="Arial" w:hAnsi="Arial"/>
          <w:b/>
          <w:bCs/>
          <w:color w:val="000000"/>
          <w:sz w:val="24"/>
          <w:szCs w:val="24"/>
        </w:rPr>
        <w:t xml:space="preserve">Visualization 4: Correlation Matrix of Soil Nutrients</w:t>
      </w:r>
    </w:p>
    <w:p>
      <w:pPr>
        <w:spacing w:after="100" w:before="60"/>
        <w:jc w:val="both"/>
      </w:pPr>
      <w:r>
        <w:rPr>
          <w:rFonts w:ascii="Arial" w:cs="Arial" w:eastAsia="Arial" w:hAnsi="Arial"/>
          <w:sz w:val="20"/>
          <w:szCs w:val="20"/>
        </w:rPr>
        <w:t xml:space="preserve">Heatmap of Pearson correlations across nine soil variables.</w:t>
      </w:r>
    </w:p>
    <w:p>
      <w:pPr>
        <w:spacing w:after="100" w:before="60"/>
        <w:jc w:val="both"/>
      </w:pPr>
      <w:r>
        <w:rPr>
          <w:rFonts w:ascii="Arial" w:cs="Arial" w:eastAsia="Arial" w:hAnsi="Arial"/>
          <w:b/>
          <w:bCs/>
          <w:sz w:val="20"/>
          <w:szCs w:val="20"/>
        </w:rPr>
        <w:t xml:space="preserve">Insight: </w:t>
      </w:r>
      <w:r>
        <w:rPr>
          <w:rFonts w:ascii="Arial" w:cs="Arial" w:eastAsia="Arial" w:hAnsi="Arial"/>
          <w:sz w:val="20"/>
          <w:szCs w:val="20"/>
        </w:rPr>
        <w:t xml:space="preserve">Three structural relationships stand out. Carbon and nitrogen correlate at r=0.88, reflecting that both derive from organic matter decomposition. Calcium and magnesium correlate at r=0.89, consistent with their shared geological source in basic rocks. Calcium and pH correlate at r=0.78, driven by calcium carbonate formation in alkaline conditions. Aluminium shows a negative relationship with pH, which is explored further in Visualization 5.</w:t>
      </w:r>
    </w:p>
    <w:p>
      <w:pPr>
        <w:pStyle w:val="Heading2"/>
        <w:spacing w:after="100" w:before="180"/>
      </w:pPr>
      <w:r>
        <w:rPr>
          <w:rFonts w:ascii="Arial" w:cs="Arial" w:eastAsia="Arial" w:hAnsi="Arial"/>
          <w:b/>
          <w:bCs/>
          <w:color w:val="000000"/>
          <w:sz w:val="24"/>
          <w:szCs w:val="24"/>
        </w:rPr>
        <w:t xml:space="preserve">Visualization 5: Aluminium Toxicity Risk by pH</w:t>
      </w:r>
    </w:p>
    <w:p>
      <w:pPr>
        <w:spacing w:after="100" w:before="60"/>
        <w:jc w:val="both"/>
      </w:pPr>
      <w:r>
        <w:rPr>
          <w:rFonts w:ascii="Arial" w:cs="Arial" w:eastAsia="Arial" w:hAnsi="Arial"/>
          <w:sz w:val="20"/>
          <w:szCs w:val="20"/>
        </w:rPr>
        <w:t xml:space="preserve">Scatter plot of extractable aluminium against pH with a vertical threshold line at pH 5.5.</w:t>
      </w:r>
    </w:p>
    <w:p>
      <w:pPr>
        <w:spacing w:after="100" w:before="60"/>
        <w:jc w:val="both"/>
      </w:pPr>
      <w:r>
        <w:rPr>
          <w:rFonts w:ascii="Arial" w:cs="Arial" w:eastAsia="Arial" w:hAnsi="Arial"/>
          <w:b/>
          <w:bCs/>
          <w:sz w:val="20"/>
          <w:szCs w:val="20"/>
        </w:rPr>
        <w:t xml:space="preserve">Insight: </w:t>
      </w:r>
      <w:r>
        <w:rPr>
          <w:rFonts w:ascii="Arial" w:cs="Arial" w:eastAsia="Arial" w:hAnsi="Arial"/>
          <w:sz w:val="20"/>
          <w:szCs w:val="20"/>
        </w:rPr>
        <w:t xml:space="preserve">Aluminium extractability rises sharply at pH values below 5.5. Above 5.5, aluminium is largely immobilized in the soil matrix. Sites below this threshold represent active toxicity risk for sensitive crops including maize, beans, and soybeans. The pattern is consistent across all regions in the dataset, making pH 5.5 a reliable practical threshold for flagging aluminium risk in recommendation logic.</w:t>
      </w:r>
    </w:p>
    <w:p>
      <w:r>
        <w:t xml:space="preserve"/>
      </w:r>
    </w:p>
    <w:p>
      <w:r>
        <w:br w:type="page"/>
      </w:r>
    </w:p>
    <w:p>
      <w:pPr>
        <w:pStyle w:val="Heading1"/>
        <w:pBdr>
          <w:bottom w:val="single" w:color="2E7D32" w:sz="6"/>
        </w:pBdr>
        <w:spacing w:after="100" w:before="280"/>
      </w:pPr>
      <w:r>
        <w:rPr>
          <w:rFonts w:ascii="Arial" w:cs="Arial" w:eastAsia="Arial" w:hAnsi="Arial"/>
          <w:b/>
          <w:bCs/>
          <w:color w:val="2E7D32"/>
          <w:sz w:val="28"/>
          <w:szCs w:val="28"/>
        </w:rPr>
        <w:t xml:space="preserve">4. Recommendation Feature Engineering</w:t>
      </w:r>
    </w:p>
    <w:p>
      <w:pPr>
        <w:spacing w:after="100" w:before="60"/>
        <w:jc w:val="both"/>
      </w:pPr>
      <w:r>
        <w:rPr>
          <w:rFonts w:ascii="Arial" w:cs="Arial" w:eastAsia="Arial" w:hAnsi="Arial"/>
          <w:sz w:val="20"/>
          <w:szCs w:val="20"/>
        </w:rPr>
        <w:t xml:space="preserve">Three features were engineered to enhance recommendation model performance.</w:t>
      </w:r>
    </w:p>
    <w:p>
      <w:pPr>
        <w:pStyle w:val="Heading2"/>
        <w:spacing w:after="100" w:before="180"/>
      </w:pPr>
      <w:r>
        <w:rPr>
          <w:rFonts w:ascii="Arial" w:cs="Arial" w:eastAsia="Arial" w:hAnsi="Arial"/>
          <w:b/>
          <w:bCs/>
          <w:color w:val="000000"/>
          <w:sz w:val="24"/>
          <w:szCs w:val="24"/>
        </w:rPr>
        <w:t xml:space="preserve">Feature 1: Soil Organic Matter (soil_organic_matter)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carbon_organic x 1.724  (Van Bemmelen conversion factor)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Why useful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Soil organic matter (SOM) is the agronomic standard for communicating soil health to farmers and agronomists. Carbon_organic is a laboratory measurement; SOM is what practitioners recognize and act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Enables SOM-based crop matching and fertilizer recommendations. SOM thresholds (e.g., below 2% indicates intervention need) are widely established in African agronomy literature.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Practical note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Van Bemmelen factor (1.724) is the international standard. Can be updated to 2.0 for specific organic soil types if regional calibration data is available.</w:t>
            </w:r>
          </w:p>
        </w:tc>
      </w:tr>
    </w:tbl>
    <w:p>
      <w:r>
        <w:t xml:space="preserve"/>
      </w:r>
    </w:p>
    <w:p>
      <w:pPr>
        <w:pStyle w:val="Heading2"/>
        <w:spacing w:after="100" w:before="180"/>
      </w:pPr>
      <w:r>
        <w:rPr>
          <w:rFonts w:ascii="Arial" w:cs="Arial" w:eastAsia="Arial" w:hAnsi="Arial"/>
          <w:b/>
          <w:bCs/>
          <w:color w:val="000000"/>
          <w:sz w:val="24"/>
          <w:szCs w:val="24"/>
        </w:rPr>
        <w:t xml:space="preserve">Feature 2: Aluminium Toxicity Flag (alum_toxicity_flag)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 if aluminium_extractable &gt; 1000 mg/kg AND ph &lt; 5.5, else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Why useful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Aluminium toxicity is the primary yield-limiting factor on acidic soils across sub-Saharan Africa. A binary flag makes the risk machine-readable without requiring the recommendation engine to interpret continuous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Directly filters out high-value sensitive crops from recommendations at flagged sites. Enables targeted lime application advice as a prerequisite before planting recommendations.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Practical note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The dual condition (both aluminium concentration and pH threshold must be met) reduces false positives. High aluminium at neutral pH is not toxic because it remains chemically bound.</w:t>
            </w:r>
          </w:p>
        </w:tc>
      </w:tr>
    </w:tbl>
    <w:p>
      <w:r>
        <w:t xml:space="preserve"/>
      </w:r>
    </w:p>
    <w:p>
      <w:pPr>
        <w:pStyle w:val="Heading2"/>
        <w:spacing w:after="100" w:before="180"/>
      </w:pPr>
      <w:r>
        <w:rPr>
          <w:rFonts w:ascii="Arial" w:cs="Arial" w:eastAsia="Arial" w:hAnsi="Arial"/>
          <w:b/>
          <w:bCs/>
          <w:color w:val="000000"/>
          <w:sz w:val="24"/>
          <w:szCs w:val="24"/>
        </w:rPr>
        <w:t xml:space="preserve">Feature 3: Topsoil Indicator (is_topsoil)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 if horizon == 'topsoil', else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Why useful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Soil depth determines which measurements are most relevant to plant root access. Annual crops access primarily topsoil; deep-rooted perennials access both. A binary encoding allows the recommendation model to weight topsoil readings differently without conditional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Enables depth-weighted recommendations. A site with adequate topsoil nutrients but degraded subsoil may receive a different crop recommendation than one with uniformly depleted profiles.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Practical note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Converts the categorical horizon variable into a numeric form compatible with machine learning pipelines without requiring dummy variable expansion.</w:t>
            </w:r>
          </w:p>
        </w:tc>
      </w:tr>
    </w:tbl>
    <w:p>
      <w:r>
        <w:t xml:space="preserve"/>
      </w:r>
    </w:p>
    <w:p>
      <w:pPr>
        <w:pStyle w:val="Heading1"/>
        <w:pBdr>
          <w:bottom w:val="single" w:color="2E7D32" w:sz="6"/>
        </w:pBdr>
        <w:spacing w:after="100" w:before="280"/>
      </w:pPr>
      <w:r>
        <w:rPr>
          <w:rFonts w:ascii="Arial" w:cs="Arial" w:eastAsia="Arial" w:hAnsi="Arial"/>
          <w:b/>
          <w:bCs/>
          <w:color w:val="2E7D32"/>
          <w:sz w:val="28"/>
          <w:szCs w:val="28"/>
        </w:rPr>
        <w:t xml:space="preserve">5. Recommendation Logic</w:t>
      </w:r>
    </w:p>
    <w:p>
      <w:pPr>
        <w:spacing w:after="100" w:before="60"/>
        <w:jc w:val="both"/>
      </w:pPr>
      <w:r>
        <w:rPr>
          <w:rFonts w:ascii="Arial" w:cs="Arial" w:eastAsia="Arial" w:hAnsi="Arial"/>
          <w:sz w:val="20"/>
          <w:szCs w:val="20"/>
        </w:rPr>
        <w:t xml:space="preserve">A rule-based crop scoring approach was designed and implemented. The system matches incoming soil measurements against threshold rules for five crops: Maize, Cassava, Sorghum, Groundnuts, and Beans.</w:t>
      </w:r>
    </w:p>
    <w:p>
      <w:pPr>
        <w:pStyle w:val="Heading2"/>
        <w:spacing w:after="100" w:before="180"/>
      </w:pPr>
      <w:r>
        <w:rPr>
          <w:rFonts w:ascii="Arial" w:cs="Arial" w:eastAsia="Arial" w:hAnsi="Arial"/>
          <w:b/>
          <w:bCs/>
          <w:color w:val="000000"/>
          <w:sz w:val="24"/>
          <w:szCs w:val="24"/>
        </w:rPr>
        <w:t xml:space="preserve">Approach</w:t>
      </w:r>
    </w:p>
    <w:p>
      <w:pPr>
        <w:spacing w:after="100" w:before="60"/>
        <w:jc w:val="both"/>
      </w:pPr>
      <w:r>
        <w:rPr>
          <w:rFonts w:ascii="Arial" w:cs="Arial" w:eastAsia="Arial" w:hAnsi="Arial"/>
          <w:sz w:val="20"/>
          <w:szCs w:val="20"/>
        </w:rPr>
        <w:t xml:space="preserve">Each crop has defined threshold requirements across four soil parameters: pH range, minimum nitrogen_total, minimum potassium_extractable, and maximum tolerable aluminium_extractable. For a given soil sample, the system scores each crop against these thresholds (one point per met condition, maximum four) and returns the crop with the highest score as the recommendation.</w:t>
      </w:r>
    </w:p>
    <w:p>
      <w:pPr>
        <w:pStyle w:val="Heading2"/>
        <w:spacing w:after="100" w:before="180"/>
      </w:pPr>
      <w:r>
        <w:rPr>
          <w:rFonts w:ascii="Arial" w:cs="Arial" w:eastAsia="Arial" w:hAnsi="Arial"/>
          <w:b/>
          <w:bCs/>
          <w:color w:val="000000"/>
          <w:sz w:val="24"/>
          <w:szCs w:val="24"/>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 Parameter</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Moderately acidic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nitrogen_total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0.6 g/kg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Below maize threshold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potassium_extractable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95 mg/kg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Above all thresholds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aluminium_extractable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620 mg/kg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Moderate toxicity risk</w:t>
            </w:r>
          </w:p>
        </w:tc>
      </w:tr>
    </w:tbl>
    <w:p>
      <w:r>
        <w:t xml:space="preserve"/>
      </w:r>
    </w:p>
    <w:p>
      <w:pPr>
        <w:spacing w:after="100" w:before="60"/>
        <w:jc w:val="both"/>
      </w:pPr>
      <w:r>
        <w:rPr>
          <w:rFonts w:ascii="Arial" w:cs="Arial" w:eastAsia="Arial" w:hAnsi="Arial"/>
          <w:sz w:val="20"/>
          <w:szCs w:val="20"/>
        </w:rPr>
        <w:t xml:space="preserve">Output: Cassava recommended (score 4/4). Cassava tolerates lower pH, lower nitrogen, and higher aluminium than competing crops, making it the agronomically correct choice for this soil profile.</w:t>
      </w:r>
    </w:p>
    <w:p>
      <w:pPr>
        <w:pStyle w:val="Heading2"/>
        <w:spacing w:after="100" w:before="180"/>
      </w:pPr>
      <w:r>
        <w:rPr>
          <w:rFonts w:ascii="Arial" w:cs="Arial" w:eastAsia="Arial" w:hAnsi="Arial"/>
          <w:b/>
          <w:bCs/>
          <w:color w:val="000000"/>
          <w:sz w:val="24"/>
          <w:szCs w:val="24"/>
        </w:rPr>
        <w:t xml:space="preserve">Rationale for Rule-Based Design</w:t>
      </w:r>
    </w:p>
    <w:p>
      <w:pPr>
        <w:spacing w:after="100" w:before="60"/>
        <w:jc w:val="both"/>
      </w:pPr>
      <w:r>
        <w:rPr>
          <w:rFonts w:ascii="Arial" w:cs="Arial" w:eastAsia="Arial" w:hAnsi="Arial"/>
          <w:sz w:val="20"/>
          <w:szCs w:val="20"/>
        </w:rPr>
        <w:t xml:space="preserve">Three reasons support using rule-based logic at this stage rather than a predictive model. First, the dataset does not include crop yield outcome labels, so supervised learning would require joining an additional yield dataset. Second, agronomic thresholds for these crops are well-established in peer-reviewed literature and extension guidance across sub-Saharan Africa. Third, rule-based logic is interpretable: a field extension officer can explain the recommendation to a farmer by pointing to the exact soil measurements that drove it.</w:t>
      </w:r>
    </w:p>
    <w:p>
      <w:pPr>
        <w:spacing w:after="100" w:before="60"/>
        <w:jc w:val="both"/>
      </w:pPr>
      <w:r>
        <w:rPr>
          <w:rFonts w:ascii="Arial" w:cs="Arial" w:eastAsia="Arial" w:hAnsi="Arial"/>
          <w:sz w:val="20"/>
          <w:szCs w:val="20"/>
        </w:rPr>
        <w:t xml:space="preserve">The approach is modular. As Rhea collects farmer outcome data (yield achieved vs. yield predicted), the threshold values can be calibrated empirically, and the scoring function can be replaced with a trained classifier without changing the surrounding pipeline.</w:t>
      </w:r>
    </w:p>
    <w:p>
      <w:r>
        <w:t xml:space="preserve"/>
      </w:r>
    </w:p>
    <w:p>
      <w:pPr>
        <w:pStyle w:val="Heading1"/>
        <w:pBdr>
          <w:bottom w:val="single" w:color="2E7D32" w:sz="6"/>
        </w:pBdr>
        <w:spacing w:after="100" w:before="280"/>
      </w:pPr>
      <w:r>
        <w:rPr>
          <w:rFonts w:ascii="Arial" w:cs="Arial" w:eastAsia="Arial" w:hAnsi="Arial"/>
          <w:b/>
          <w:bCs/>
          <w:color w:val="2E7D32"/>
          <w:sz w:val="28"/>
          <w:szCs w:val="28"/>
        </w:rPr>
        <w:t xml:space="preserve">6. Bonus Task: LLM-Assisted Insight Generation</w:t>
      </w:r>
    </w:p>
    <w:p>
      <w:pPr>
        <w:pStyle w:val="Heading2"/>
        <w:spacing w:after="100" w:before="180"/>
      </w:pPr>
      <w:r>
        <w:rPr>
          <w:rFonts w:ascii="Arial" w:cs="Arial" w:eastAsia="Arial" w:hAnsi="Arial"/>
          <w:b/>
          <w:bCs/>
          <w:color w:val="000000"/>
          <w:sz w:val="24"/>
          <w:szCs w:val="24"/>
        </w:rPr>
        <w:t xml:space="preserve">Prompt Used</w:t>
      </w:r>
    </w:p>
    <w:p>
      <w:pPr>
        <w:spacing w:after="100" w:before="60"/>
        <w:jc w:val="both"/>
      </w:pPr>
      <w:r>
        <w:rPr>
          <w:rFonts w:ascii="Arial" w:cs="Arial" w:eastAsia="Arial" w:hAnsi="Arial"/>
          <w:sz w:val="20"/>
          <w:szCs w:val="20"/>
        </w:rPr>
        <w:t xml:space="preserve">The following prompt was submitted to Claude (Anthropic) with a summary of the cleaned dataset's statistical profile, correlation findings, and geographic distribution:</w:t>
      </w:r>
    </w:p>
    <w:p>
      <w:pPr>
        <w:pBdr>
          <w:left w:val="single" w:color="2E7D32" w:sz="12"/>
        </w:pBdr>
        <w:spacing w:after="100" w:before="100"/>
        <w:ind w:left="720"/>
      </w:pPr>
      <w:r>
        <w:rPr>
          <w:rFonts w:ascii="Arial" w:cs="Arial" w:eastAsia="Arial" w:hAnsi="Arial"/>
          <w:i/>
          <w:iCs/>
          <w:sz w:val="20"/>
          <w:szCs w:val="20"/>
        </w:rPr>
        <w:t xml:space="preserve">You are an agricultural soil scientist advising a precision farming recommendation system operating in sub-Saharan Africa. I am sharing the statistical profile and correlation findings from an iSDA soil dataset covering 42 countries.</w:t>
      </w:r>
      <w:r>
        <w:rPr>
          <w:rFonts w:ascii="Arial" w:cs="Arial" w:eastAsia="Arial" w:hAnsi="Arial"/>
          <w:i/>
          <w:iCs/>
          <w:sz w:val="20"/>
          <w:szCs w:val="20"/>
        </w:rPr>
        <w:br/>
        <w:t xml:space="preserve">
Dataset summary: [nitrogen_total mean=0.82 g/kg, std=0.61; carbon_organic mean=0.95%, std=0.71; pH mean=6.1, std=0.89; aluminium_extractable mean=487 mg/kg, std=312; calcium_extractable mean=1,240 mg/kg, std=890; correlation carbon-nitrogen=0.88, calcium-pH=0.78, aluminium-pH=-0.71].</w:t>
      </w:r>
      <w:r>
        <w:rPr>
          <w:rFonts w:ascii="Arial" w:cs="Arial" w:eastAsia="Arial" w:hAnsi="Arial"/>
          <w:i/>
          <w:iCs/>
          <w:sz w:val="20"/>
          <w:szCs w:val="20"/>
        </w:rPr>
        <w:br/>
        <w:t xml:space="preserve">
Geographic note: Acidic soils cluster in equatorial West and Central Africa. Alkaline soils concentrate in the Horn and southern Africa. East Africa shows the widest pH variance.</w:t>
      </w:r>
      <w:r>
        <w:rPr>
          <w:rFonts w:ascii="Arial" w:cs="Arial" w:eastAsia="Arial" w:hAnsi="Arial"/>
          <w:i/>
          <w:iCs/>
          <w:sz w:val="20"/>
          <w:szCs w:val="20"/>
        </w:rPr>
        <w:br/>
        <w:t xml:space="preserve">
Generate five agronomically grounded insights from this profile that a crop recommendation system should encode as decision rules or feature interactions. For each insight, state: (1) the finding, (2) the agronomic mechanism behind it, and (3) how a recommendation system should act on it.</w:t>
      </w:r>
    </w:p>
    <w:p>
      <w:r>
        <w:t xml:space="preserve"/>
      </w:r>
    </w:p>
    <w:p>
      <w:pPr>
        <w:pStyle w:val="Heading2"/>
        <w:spacing w:after="100" w:before="180"/>
      </w:pPr>
      <w:r>
        <w:rPr>
          <w:rFonts w:ascii="Arial" w:cs="Arial" w:eastAsia="Arial" w:hAnsi="Arial"/>
          <w:b/>
          <w:bCs/>
          <w:color w:val="000000"/>
          <w:sz w:val="24"/>
          <w:szCs w:val="24"/>
        </w:rPr>
        <w:t xml:space="preserve">Insights Obtained</w:t>
      </w:r>
    </w:p>
    <w:p>
      <w:pPr>
        <w:pStyle w:val="ListParagraph"/>
        <w:numPr>
          <w:ilvl w:val="0"/>
          <w:numId w:val="2"/>
        </w:numPr>
        <w:spacing w:after="40" w:before="40"/>
      </w:pPr>
      <w:r>
        <w:rPr>
          <w:rFonts w:ascii="Arial" w:cs="Arial" w:eastAsia="Arial" w:hAnsi="Arial"/>
          <w:sz w:val="20"/>
          <w:szCs w:val="20"/>
        </w:rPr>
        <w:t xml:space="preserve">Aluminium toxicity is the primary soil constraint in equatorial zones. At pH below 5.5, Al3+ ions become soluble and directly inhibit root elongation. Recommendation action: gate sensitive crops (maize, beans) behind an aluminium toxicity check before any other scoring.</w:t>
      </w:r>
    </w:p>
    <w:p>
      <w:pPr>
        <w:pStyle w:val="ListParagraph"/>
        <w:numPr>
          <w:ilvl w:val="0"/>
          <w:numId w:val="2"/>
        </w:numPr>
        <w:spacing w:after="40" w:before="40"/>
      </w:pPr>
      <w:r>
        <w:rPr>
          <w:rFonts w:ascii="Arial" w:cs="Arial" w:eastAsia="Arial" w:hAnsi="Arial"/>
          <w:sz w:val="20"/>
          <w:szCs w:val="20"/>
        </w:rPr>
        <w:t xml:space="preserve">Carbon and nitrogen co-movement (r=0.88) means that nitrogen-deficient soils are almost certainly carbon-deficient too. A single organic matter remediation recommendation covers both deficiencies simultaneously. This simplifies intervention advice to farmers.</w:t>
      </w:r>
    </w:p>
    <w:p>
      <w:pPr>
        <w:pStyle w:val="ListParagraph"/>
        <w:numPr>
          <w:ilvl w:val="0"/>
          <w:numId w:val="2"/>
        </w:numPr>
        <w:spacing w:after="40" w:before="40"/>
      </w:pPr>
      <w:r>
        <w:rPr>
          <w:rFonts w:ascii="Arial" w:cs="Arial" w:eastAsia="Arial" w:hAnsi="Arial"/>
          <w:sz w:val="20"/>
          <w:szCs w:val="20"/>
        </w:rPr>
        <w:t xml:space="preserve">East Africa's high pH variance signals that sub-national recommendation zones are necessary. A country-level average pH would mask acidic and alkaline micro-environments within 50km of each other. Site-specific measurements are non-negotiable for accurate recommendations.</w:t>
      </w:r>
    </w:p>
    <w:p>
      <w:pPr>
        <w:pStyle w:val="ListParagraph"/>
        <w:numPr>
          <w:ilvl w:val="0"/>
          <w:numId w:val="2"/>
        </w:numPr>
        <w:spacing w:after="40" w:before="40"/>
      </w:pPr>
      <w:r>
        <w:rPr>
          <w:rFonts w:ascii="Arial" w:cs="Arial" w:eastAsia="Arial" w:hAnsi="Arial"/>
          <w:sz w:val="20"/>
          <w:szCs w:val="20"/>
        </w:rPr>
        <w:t xml:space="preserve">The calcium-pH relationship (r=0.78) can be used to infer approximate liming history from calcium measurements alone where direct pH data is unavailable. This is useful in data-sparse regions.</w:t>
      </w:r>
    </w:p>
    <w:p>
      <w:pPr>
        <w:pStyle w:val="ListParagraph"/>
        <w:numPr>
          <w:ilvl w:val="0"/>
          <w:numId w:val="2"/>
        </w:numPr>
        <w:spacing w:after="40" w:before="40"/>
      </w:pPr>
      <w:r>
        <w:rPr>
          <w:rFonts w:ascii="Arial" w:cs="Arial" w:eastAsia="Arial" w:hAnsi="Arial"/>
          <w:sz w:val="20"/>
          <w:szCs w:val="20"/>
        </w:rPr>
        <w:t xml:space="preserve">Right-skewed nutrient distributions indicate that median-based thresholds will outperform mean-based thresholds in recommendation rules. Most sites have low concentrations; mean values are inflated by high-fertility outliers and would misclassify the majority of sites as more fertile than they are.</w:t>
      </w:r>
    </w:p>
    <w:p>
      <w:r>
        <w:t xml:space="preserve"/>
      </w:r>
    </w:p>
    <w:p>
      <w:pPr>
        <w:pStyle w:val="Heading2"/>
        <w:spacing w:after="100" w:before="180"/>
      </w:pPr>
      <w:r>
        <w:rPr>
          <w:rFonts w:ascii="Arial" w:cs="Arial" w:eastAsia="Arial" w:hAnsi="Arial"/>
          <w:b/>
          <w:bCs/>
          <w:color w:val="000000"/>
          <w:sz w:val="24"/>
          <w:szCs w:val="24"/>
        </w:rPr>
        <w:t xml:space="preserve">Assessment of Usefulness</w:t>
      </w:r>
    </w:p>
    <w:p>
      <w:pPr>
        <w:spacing w:after="100" w:before="60"/>
        <w:jc w:val="both"/>
      </w:pPr>
      <w:r>
        <w:rPr>
          <w:rFonts w:ascii="Arial" w:cs="Arial" w:eastAsia="Arial" w:hAnsi="Arial"/>
          <w:sz w:val="20"/>
          <w:szCs w:val="20"/>
        </w:rPr>
        <w:t xml:space="preserve">All five insights were agronomically grounded and directly actionable within the recommendation framework built in Task 5. Two insights, the gate-before-score logic for aluminium toxicity and the median-over-mean threshold design, prompted immediate changes to the recommendation function. The insight on calcium as a pH proxy opens a practical route for handling missing pH values, which is a real data quality issue in field-collected datasets across the region. The LLM did not introduce any factually incorrect agronomic claims when working from accurate statistical inputs.</w:t>
      </w:r>
    </w:p>
    <w:p>
      <w:r>
        <w:t xml:space="preserve"/>
      </w:r>
    </w:p>
    <w:p>
      <w:pPr>
        <w:pBdr>
          <w:top w:val="single" w:color="2E7D32" w:sz="4"/>
        </w:pBdr>
        <w:spacing w:after="60" w:before="300"/>
        <w:jc w:val="center"/>
      </w:pPr>
      <w:r>
        <w:rPr>
          <w:rFonts w:ascii="Arial" w:cs="Arial" w:eastAsia="Arial" w:hAnsi="Arial"/>
          <w:i/>
          <w:iCs/>
          <w:color w:val="888888"/>
          <w:sz w:val="18"/>
          <w:szCs w:val="18"/>
        </w:rPr>
        <w:t xml:space="preserve">Submitted to: info@rhea.africa  |  Samuel Agondeze Kisoke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2E7D32"/>
      <w:sz w:val="28"/>
      <w:szCs w:val="28"/>
    </w:rPr>
  </w:style>
  <w:style w:type="paragraph" w:styleId="Heading2">
    <w:name w:val="Heading 2"/>
    <w:basedOn w:val="Normal"/>
    <w:next w:val="Normal"/>
    <w:qFormat/>
    <w:pPr>
      <w:spacing w:after="80" w:before="180"/>
      <w:outlineLvl w:val="1"/>
    </w:pPr>
    <w:rPr>
      <w:rFonts w:ascii="Arial" w:cs="Arial" w:eastAsia="Arial" w:hAnsi="Arial"/>
      <w:b/>
      <w:bCs/>
      <w:sz w:val="24"/>
      <w:szCs w:val="24"/>
    </w:rPr>
  </w:style>
  <w:style w:type="paragraph" w:styleId="Heading3">
    <w:name w:val="Heading 3"/>
    <w:basedOn w:val="Normal"/>
    <w:next w:val="Normal"/>
    <w:qFormat/>
    <w:pPr>
      <w:spacing w:after="60" w:before="1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2026-06-30T15:47:20.569Z</dcterms:created>
  <dcterms:modified xsi:type="dcterms:W3CDTF">2026-06-30T15:47:20.582Z</dcterms:modified>
</cp:coreProperties>
</file>

<file path=docProps/custom.xml><?xml version="1.0" encoding="utf-8"?>
<Properties xmlns="http://schemas.openxmlformats.org/officeDocument/2006/custom-properties" xmlns:vt="http://schemas.openxmlformats.org/officeDocument/2006/docPropsVTypes"/>
</file>