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media/image.svg" ContentType="image/svg+xml"/>
  <Override PartName="/media/image2.svg" ContentType="image/svg+xml"/>
  <Override PartName="/media/image3.svg" ContentType="image/svg+xml"/>
  <Override PartName="/media/image4.svg" ContentType="image/svg+xml"/>
  <Override PartName="/media/image5.svg" ContentType="image/svg+xml"/>
  <Override PartName="/media/image6.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33ac0d9059e64d03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body>
    <w:p w14:paraId="00100000" w14:textId="00100001">
      <w:pPr>
        <w:pStyle w:val="Heading1"/>
        <w:spacing w:before="120" w:after="360" w:line="288" w:lineRule="auto"/>
        <w:jc w:val="center"/>
      </w:pPr>
      <w:r>
        <w:rPr>
          <w:rFonts w:ascii="Times New Roman" w:hAnsi="Times New Roman" w:eastAsia="宋体"/>
          <w:b/>
          <w:color w:val="1F4E79"/>
          <w:sz w:val="36"/>
        </w:rPr>
        <w:t xml:space="preserve">自动化客服与评论情感分析系统商业洞察报告</w:t>
      </w:r>
    </w:p>
    <w:p w14:paraId="00100002" w14:textId="00100003"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一、创业想法与产品核心概念</w:t>
      </w:r>
    </w:p>
    <w:p w14:paraId="00100004" w14:textId="00100005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本项目的创业想法是面向中小电商商家与本地生活服务商家，提供一套“自动化客服 + 评论情感分析 + 商业洞察输出”的智能运营工具，帮助商家在不显著增加人力成本的前提下，提高客服响应效率、沉淀可复用规则，并把原本分散的评论数据转化为可执行的经营决策。</w:t>
      </w:r>
    </w:p>
    <w:p w14:paraId="00100006" w14:textId="00100007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产品核心由两条能力主线构成。第一条是基于 RAG 的智能客服，系统会先检索商家 FAQ、退换货规则和标准话术，再生成符合业务边界的回复。第二条是评论洞察引擎，系统对评论执行清洗、情感分类、痛点抽取和高频问题聚合，并用图表输出问题结构与变化趋势。两者共同形成从“用户反馈”到“经营动作”的闭环。</w:t>
      </w:r>
    </w:p>
    <w:p w14:paraId="00100008" w14:textId="00100009"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二、价值主张与差异化定位</w:t>
      </w:r>
    </w:p>
    <w:p w14:paraId="0010000A" w14:textId="0010000B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本项目的核心价值主张不是“替代全部人工客服”，而是成为商家的“客服效率层 + 评论洞察层 + 规则执行层”。它的目标客户不是大型企业联络中心，而是客服和运营都高度依赖少量人员、但日常要面对大量重复咨询与分散评论数据的中小电商团队。</w:t>
      </w:r>
    </w:p>
    <w:p w14:paraId="0010000C" w14:textId="0010000D">
      <w:pPr>
        <w:pStyle w:val="Heading2"/>
        <w:spacing w:before="200" w:after="120" w:line="276" w:lineRule="auto"/>
        <w:jc w:val="center"/>
      </w:pPr>
      <w:r>
        <w:rPr>
          <w:rFonts w:ascii="Times New Roman" w:hAnsi="Times New Roman" w:eastAsia="宋体"/>
          <w:b/>
          <w:color w:val="2C3E50"/>
          <w:sz w:val="22"/>
        </w:rPr>
        <w:t xml:space="preserve">图 1. 价值主张与差异化</w:t>
      </w:r>
    </w:p>
    <w:p w14:paraId="0010000E" w14:textId="0010000F">
      <w:pPr>
        <w:spacing w:after="8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669280" cy="3246120"/>
            <wp:effectExtent l="0" t="0" r="0" b="0"/>
            <wp:docPr id="1" name="图 1. 价值主张与差异化" descr="图 1. 价值主张与差异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1. 价值主张与差异化"/>
                    <pic:cNvPicPr/>
                  </pic:nvPicPr>
                  <pic:blipFill>
                    <a:blip xmlns:r="http://schemas.openxmlformats.org/officeDocument/2006/relationships" r:embed="R6fcab5f5d14c4da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0" w14:textId="00100011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图示强调本项目不是单纯客服机器人，而是把回复自动化、评论洞察和规则执行打包为一个运营工具。</w:t>
      </w:r>
    </w:p>
    <w:p w14:paraId="00100012" w14:textId="00100013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从价值结构上看，产品的差异化主要来自三个维度。第一，客服回复不是纯生成，而是带有商家规则约束的检索增强回复，因此在退款、补发、售后流程等敏感场景下更可控。第二，评论分析不是只给正负标签，而是进一步抽取质量、尺寸、包装、服务态度等具体痛点。第三，系统把前台客户沟通和后台经营分析打通，使“回复客户”和“复盘问题”发生在同一套工作流中。</w:t>
      </w:r>
    </w:p>
    <w:p w14:paraId="00100014" w14:textId="00100015"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三、目标市场与市场定位</w:t>
      </w:r>
    </w:p>
    <w:p w14:paraId="00100016" w14:textId="00100017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本项目的首要目标市场是评论规模较大、售后咨询频繁、但客服和数据分析能力有限的中小电商商家，尤其适用于服饰、数码、食品生鲜、酒店和家居等高评论密度行业。典型客户画像包括：每天需要处理大量重复咨询、依赖平台评论判断产品质量、没有专门数据分析岗位、希望快速降低客服成本并提升店铺评分的商家或小型运营团队。</w:t>
      </w:r>
    </w:p>
    <w:p w14:paraId="00100018" w14:textId="00100019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在定位上，产品不应与大型 CRM 或企业联络中心系统正面竞争，而应作为“低门槛、高 ROI、快速上线”的商家运营工具进入市场。对用户来说，它的采购逻辑更接近“能不能一周内用起来、能不能看出差评原因、能不能减少重复咨询”，而不是“是否具备全渠道联络中心的复杂治理能力”。</w:t>
      </w:r>
    </w:p>
    <w:p w14:paraId="0010001A" w14:textId="0010001B"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四、市场环境分析</w:t>
      </w:r>
    </w:p>
    <w:p w14:paraId="0010001C" w14:textId="0010001D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当前市场存在三个清晰的需求驱动。第一，消费者越来越习惯数字化支持，但并不接受体验很差的自动化服务。第二，评论对购买决策的影响越来越强。第三，电商经营对履约体验极为敏感。上述驱动共同说明，商家今天面临的不是“要不要做自动化”，而是“如何把自动化做得既高效又不损害客户体验”。</w:t>
      </w:r>
    </w:p>
    <w:p w14:paraId="0010001E" w14:textId="0010001F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从竞争格局看，当前可替代方案大致可以分为四类：人工客服与外包、规则机器人、通用大模型工作流，以及大型客户体验平台。我们的竞争切口不是做“最全”的客服平台，而是做“最贴近中小商家经营动作”的智能运营工具。</w:t>
      </w:r>
    </w:p>
    <w:p w14:paraId="00100020" w14:textId="00100021">
      <w:pPr>
        <w:pStyle w:val="Heading2"/>
        <w:spacing w:before="200" w:after="120" w:line="276" w:lineRule="auto"/>
        <w:jc w:val="center"/>
      </w:pPr>
      <w:r>
        <w:rPr>
          <w:rFonts w:ascii="Times New Roman" w:hAnsi="Times New Roman" w:eastAsia="宋体"/>
          <w:b/>
          <w:color w:val="2C3E50"/>
          <w:sz w:val="22"/>
        </w:rPr>
        <w:t xml:space="preserve">图 2. 竞争定位矩阵</w:t>
      </w:r>
    </w:p>
    <w:p w14:paraId="00100022" w14:textId="00100023">
      <w:pPr>
        <w:spacing w:after="80" w:line="240" w:lineRule="auto"/>
        <w:jc w:val="center"/>
      </w:pPr>
      <w:r>
        <w:drawing>
          <wp:inline distT="0" distB="0" distL="0" distR="0">
            <wp:extent cx="5669280" cy="3246120"/>
            <wp:effectExtent l="0" t="0" r="0" b="0"/>
            <wp:docPr id="2" name="图 2. 竞争定位矩阵" descr="图 2. 竞争定位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 2. 竞争定位矩阵"/>
                    <pic:cNvPicPr/>
                  </pic:nvPicPr>
                  <pic:blipFill>
                    <a:blip r:embed="Raa58a708dd544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24" w14:textId="00100025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矩阵说明本项目的关键切口在于同时兼顾规则可控性、回复灵活性和评论分析能力。</w:t>
      </w:r>
    </w:p>
    <w:p w14:paraId="00100026" w14:textId="00100027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从行业趋势看，AI 客服与体验运营已经不是单纯的概念赛道，而是明确增长的市场。市场报告显示，AI for Customer Service 在 2024 年已达到约 130.1 亿美元规模，零售与电商是增长最快的终端场景之一。</w:t>
      </w:r>
    </w:p>
    <w:p w14:paraId="00100028" w14:textId="00100029"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五、数据与证据支撑</w:t>
      </w:r>
    </w:p>
    <w:p w14:paraId="0010002A" w14:textId="0010002B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当前项目已整理 1000.0 条原始评论，覆盖 10.0 个品类；在 200.0 条黄金测试集上，情感分析整体准确率达到 92.5%，平均模型置信度为 0.878。评估集中共识别正向 76.0 条、中性 27.0 条、负向 97.0 条。</w:t>
      </w:r>
    </w:p>
    <w:p w14:paraId="0010002C" w14:textId="0010002D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这些数据说明，系统并非停留在概念验证阶段，而是已经具备了用结构化结果支撑运营判断的基础能力。尤其是对于中小商家最关心的负向评论发现与售后场景，本项目已经能提供较为稳定的识别结果和初步的痛点归因。</w:t>
      </w:r>
    </w:p>
    <w:p w14:paraId="0010002E" w14:textId="0010002F">
      <w:pPr>
        <w:spacing w:before="40" w:after="80" w:line="276" w:lineRule="auto"/>
        <w:ind w:firstLine="0"/>
        <w:jc w:val="center"/>
        <w:shd w:val="clear" w:color="auto" w:fill="EEF4FB"/>
      </w:pPr>
      <w:r>
        <w:rPr>
          <w:rFonts w:ascii="Times New Roman" w:hAnsi="Times New Roman" w:eastAsia="宋体"/>
          <w:b/>
          <w:color w:val="27496D"/>
          <w:sz w:val="22"/>
        </w:rPr>
        <w:t xml:space="preserve">原始评论样本量：1000.0 | 覆盖品类数：10.0</w:t>
      </w:r>
    </w:p>
    <w:p w14:paraId="00100030" w14:textId="00100031">
      <w:pPr>
        <w:spacing w:before="40" w:after="80" w:line="276" w:lineRule="auto"/>
        <w:ind w:firstLine="0"/>
        <w:jc w:val="center"/>
        <w:shd w:val="clear" w:color="auto" w:fill="EEF4FB"/>
      </w:pPr>
      <w:r>
        <w:rPr>
          <w:rFonts w:ascii="Times New Roman" w:hAnsi="Times New Roman" w:eastAsia="宋体"/>
          <w:b/>
          <w:color w:val="27496D"/>
          <w:sz w:val="22"/>
        </w:rPr>
        <w:t xml:space="preserve">黄金测试集规模：200.0 | 情感分析整体准确率：92.5%</w:t>
      </w:r>
    </w:p>
    <w:p w14:paraId="00100032" w14:textId="00100033">
      <w:pPr>
        <w:spacing w:before="40" w:after="80" w:line="276" w:lineRule="auto"/>
        <w:ind w:firstLine="0"/>
        <w:jc w:val="center"/>
        <w:shd w:val="clear" w:color="auto" w:fill="EEF4FB"/>
      </w:pPr>
      <w:r>
        <w:rPr>
          <w:rFonts w:ascii="Times New Roman" w:hAnsi="Times New Roman" w:eastAsia="宋体"/>
          <w:b/>
          <w:color w:val="27496D"/>
          <w:sz w:val="22"/>
        </w:rPr>
        <w:t xml:space="preserve">模型平均置信度：0.878</w:t>
      </w:r>
    </w:p>
    <w:p w14:paraId="00100034" w14:textId="00100035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图表显示，1,000 条评论主要分布在以下品类：平板171条、酒店166条、洗发水160条、水果156条、衣服148条。负向评论高频痛点集中在：质量差18次、尺寸不符6次、质量不符2次、疑似假货2次、客服态度差2次，其中“质量差”最突出，说明质量问题是当前最应优先优化的经营短板。</w:t>
      </w:r>
    </w:p>
    <w:p w14:paraId="00100036" w14:textId="00100037">
      <w:pPr>
        <w:pStyle w:val="Heading2"/>
        <w:spacing w:before="200" w:after="120" w:line="276" w:lineRule="auto"/>
        <w:jc w:val="center"/>
      </w:pPr>
      <w:r>
        <w:rPr>
          <w:rFonts w:ascii="Times New Roman" w:hAnsi="Times New Roman" w:eastAsia="宋体"/>
          <w:b/>
          <w:color w:val="2C3E50"/>
          <w:sz w:val="22"/>
        </w:rPr>
        <w:t xml:space="preserve">图 3. 品类分布</w:t>
      </w:r>
    </w:p>
    <w:p w14:paraId="00100038" w14:textId="00100039">
      <w:pPr>
        <w:spacing w:after="80" w:line="240" w:lineRule="auto"/>
        <w:jc w:val="center"/>
      </w:pPr>
      <w:r>
        <w:drawing>
          <wp:inline distT="0" distB="0" distL="0" distR="0">
            <wp:extent cx="5669280" cy="3246120"/>
            <wp:effectExtent l="0" t="0" r="0" b="0"/>
            <wp:docPr id="3" name="图 3. 品类分布" descr="图 3. 品类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 3. 品类分布"/>
                    <pic:cNvPicPr/>
                  </pic:nvPicPr>
                  <pic:blipFill>
                    <a:blip r:embed="R030ea8bf20cf46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A" w14:textId="0010003B">
      <w:pPr>
        <w:spacing w:after="240" w:line="288" w:lineRule="auto"/>
        <w:ind w:firstLine="0"/>
        <w:jc w:val="center"/>
      </w:pPr>
      <w:r>
        <w:rPr>
          <w:rFonts w:ascii="Times New Roman" w:hAnsi="Times New Roman" w:eastAsia="宋体"/>
          <w:color w:val="5A5A5A"/>
          <w:sz w:val="20"/>
        </w:rPr>
        <w:t xml:space="preserve">该图表说明项目样本已经覆盖 10 个品类，并非局限于单一细分场景。</w:t>
      </w:r>
    </w:p>
    <w:p w14:paraId="0010003C" w14:textId="0010003D">
      <w:pPr>
        <w:pStyle w:val="Heading2"/>
        <w:spacing w:before="200" w:after="120" w:line="276" w:lineRule="auto"/>
        <w:jc w:val="center"/>
      </w:pPr>
      <w:r>
        <w:rPr>
          <w:rFonts w:ascii="Times New Roman" w:hAnsi="Times New Roman" w:eastAsia="宋体"/>
          <w:b/>
          <w:color w:val="2C3E50"/>
          <w:sz w:val="22"/>
        </w:rPr>
        <w:t xml:space="preserve">图 4. 情感分布</w:t>
      </w:r>
    </w:p>
    <w:p w14:paraId="0010003E" w14:textId="0010003F">
      <w:pPr>
        <w:spacing w:after="80" w:line="240" w:lineRule="auto"/>
        <w:jc w:val="center"/>
      </w:pPr>
      <w:r>
        <w:drawing>
          <wp:inline distT="0" distB="0" distL="0" distR="0">
            <wp:extent cx="5669280" cy="3246120"/>
            <wp:effectExtent l="0" t="0" r="0" b="0"/>
            <wp:docPr id="4" name="图 4. 情感分布" descr="图 4. 情感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 4. 情感分布"/>
                    <pic:cNvPicPr/>
                  </pic:nvPicPr>
                  <pic:blipFill>
                    <a:blip r:embed="R7a1fea111b0141b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40" w14:textId="00100041">
      <w:pPr>
        <w:spacing w:after="240" w:line="288" w:lineRule="auto"/>
        <w:ind w:firstLine="0"/>
        <w:jc w:val="center"/>
      </w:pPr>
      <w:r>
        <w:rPr>
          <w:rFonts w:ascii="Times New Roman" w:hAnsi="Times New Roman" w:eastAsia="宋体"/>
          <w:color w:val="5A5A5A"/>
          <w:sz w:val="20"/>
        </w:rPr>
        <w:t xml:space="preserve">该分布说明系统已经能够较稳定地识别负向评论，适合用于商家日常监控与预警。</w:t>
      </w:r>
    </w:p>
    <w:p w14:paraId="00100042" w14:textId="00100043">
      <w:pPr>
        <w:pStyle w:val="Heading2"/>
        <w:spacing w:before="200" w:after="120" w:line="276" w:lineRule="auto"/>
        <w:jc w:val="center"/>
      </w:pPr>
      <w:r>
        <w:rPr>
          <w:rFonts w:ascii="Times New Roman" w:hAnsi="Times New Roman" w:eastAsia="宋体"/>
          <w:b/>
          <w:color w:val="2C3E50"/>
          <w:sz w:val="22"/>
        </w:rPr>
        <w:t xml:space="preserve">图 5. 高频痛点</w:t>
      </w:r>
    </w:p>
    <w:p w14:paraId="00100044" w14:textId="00100045">
      <w:pPr>
        <w:spacing w:after="80" w:line="240" w:lineRule="auto"/>
        <w:jc w:val="center"/>
      </w:pPr>
      <w:r>
        <w:drawing>
          <wp:inline distT="0" distB="0" distL="0" distR="0">
            <wp:extent cx="5669280" cy="3246120"/>
            <wp:effectExtent l="0" t="0" r="0" b="0"/>
            <wp:docPr id="5" name="图 5. 高频痛点" descr="图 5. 高频痛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 5. 高频痛点"/>
                    <pic:cNvPicPr/>
                  </pic:nvPicPr>
                  <pic:blipFill>
                    <a:blip r:embed="R1256a38e7e9141e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46" w14:textId="00100047">
      <w:pPr>
        <w:spacing w:after="240" w:line="288" w:lineRule="auto"/>
        <w:ind w:firstLine="0"/>
        <w:jc w:val="center"/>
      </w:pPr>
      <w:r>
        <w:rPr>
          <w:rFonts w:ascii="Times New Roman" w:hAnsi="Times New Roman" w:eastAsia="宋体"/>
          <w:color w:val="5A5A5A"/>
          <w:sz w:val="20"/>
        </w:rPr>
        <w:t xml:space="preserve">高频痛点集中在质量相关问题上，说明供应链质量与质检流程应成为第一优先级改进对象。</w:t>
      </w:r>
    </w:p>
    <w:p w14:paraId="00100048" w14:textId="00100049"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六、商业模式与增长策略</w:t>
      </w:r>
    </w:p>
    <w:p w14:paraId="0010004A" w14:textId="0010004B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从中小商家的采购逻辑出发，最合理的定价方式是 SaaS 订阅 + 用量分层。基础版解决“先用起来”的门槛问题，专业版强化高并发、知识库容量与导出报告能力，企业版提供私有部署、接口集成和多品牌治理。</w:t>
      </w:r>
    </w:p>
    <w:p w14:paraId="0010004C" w14:textId="0010004D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市场进入策略应采用“从单点高痛场景切入”的方式。最现实的切入点是差评监控和售后回复，因为这两类场景价值明确、效果容易被感知，也最容易形成复购和口碑传播。</w:t>
      </w:r>
    </w:p>
    <w:p w14:paraId="0010004E" w14:textId="0010004F">
      <w:pPr>
        <w:pStyle w:val="Heading2"/>
        <w:spacing w:before="200" w:after="120" w:line="276" w:lineRule="auto"/>
        <w:jc w:val="center"/>
      </w:pPr>
      <w:r>
        <w:rPr>
          <w:rFonts w:ascii="Times New Roman" w:hAnsi="Times New Roman" w:eastAsia="宋体"/>
          <w:b/>
          <w:color w:val="2C3E50"/>
          <w:sz w:val="22"/>
        </w:rPr>
        <w:t xml:space="preserve">图 6. 定价与增长路径</w:t>
      </w:r>
    </w:p>
    <w:p w14:paraId="00100050" w14:textId="00100051">
      <w:pPr>
        <w:spacing w:after="80" w:line="240" w:lineRule="auto"/>
        <w:jc w:val="center"/>
      </w:pPr>
      <w:r>
        <w:drawing>
          <wp:inline distT="0" distB="0" distL="0" distR="0">
            <wp:extent cx="5669280" cy="3246120"/>
            <wp:effectExtent l="0" t="0" r="0" b="0"/>
            <wp:docPr id="6" name="图 6. 定价与增长路径" descr="图 6. 定价与增长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 6. 定价与增长路径"/>
                    <pic:cNvPicPr/>
                  </pic:nvPicPr>
                  <pic:blipFill>
                    <a:blip r:embed="Re274e799889b4a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52" w14:textId="00100053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图示说明建议采用分层订阅与阶段式市场进入路径，以降低早期获客阻力并保留扩展空间。</w:t>
      </w:r>
    </w:p>
    <w:p w14:paraId="00100054" w14:textId="00100055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在营销策略上，应以结果导向的案例展示为主，而不是技术概念宣传。对中小商家来说，真正有说服力的是“客服响应更快了”“差评原因更清晰了”“复盘报告能指导补货和产品改进”。</w:t>
      </w:r>
    </w:p>
    <w:p w14:paraId="00100056" w14:textId="00100057"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七、结论</w:t>
      </w:r>
    </w:p>
    <w:p w14:paraId="00100058" w14:textId="00100059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综合来看，本项目不是单纯的“AI 聊天工具”，而是一个以真实商家经营问题为出发点的智能运营系统。其核心商业价值在于：用规则增强的客服回复降低人工成本，用评论洞察提升问题发现与决策效率，并通过可视化与结构化输出把 AI 能力转化为商家愿意持续付费的经营价值。</w:t>
      </w:r>
    </w:p>
    <w:p w14:paraId="0010005A" w14:textId="0010005B">
      <w:pPr>
        <w:pStyle w:val="Normal"/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color w:val="212121"/>
          <w:sz w:val="22"/>
        </w:rPr>
        <w:t xml:space="preserve">基于当前原型在 200 条黄金测试集上达到 92.5% 的情感分析准确率、已覆盖 1000 条跨 10 个品类的评论数据，以及已经实现的检索增强客服回复链路，本项目具备从课程原型向真实商业试点进一步推进的可行性。</w:t>
      </w:r>
    </w:p>
    <w:p w14:paraId="0010005C" w14:textId="0010005D"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八、外部参考来源</w:t>
      </w:r>
    </w:p>
    <w:p w14:paraId="0010005E" w14:textId="0010005F">
      <w:pPr>
        <w:pStyle w:val="Normal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1. Qualtrics 2024 Consumer Experience Trends Report</w:t>
      </w:r>
    </w:p>
    <w:p w14:paraId="00100060" w14:textId="00100061">
      <w:pPr>
        <w:pStyle w:val="Normal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2. BrightLocal Local Consumer Review Survey 2024</w:t>
      </w:r>
    </w:p>
    <w:p w14:paraId="00100062" w14:textId="00100063">
      <w:pPr>
        <w:pStyle w:val="Normal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3. DHL 2024 Online Purchasing Behavior Report</w:t>
      </w:r>
    </w:p>
    <w:p w14:paraId="00100064" w14:textId="00100065">
      <w:pPr>
        <w:pStyle w:val="Normal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4. Grand View Research AI for Customer Service Market Report</w:t>
      </w:r>
    </w:p>
    <w:p w14:paraId="00100066" w14:textId="00100067">
      <w:pPr>
        <w:pStyle w:val="Normal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5. McKinsey Where is customer care in 2024?</w:t>
      </w:r>
    </w:p>
    <w:p w14:paraId="00100068" w14:textId="00100069">
      <w:pPr>
        <w:pStyle w:val="Normal"/>
        <w:spacing w:before="240" w:after="120" w:line="288" w:lineRule="auto"/>
        <w:jc w:val="left"/>
      </w:pPr>
      <w:r>
        <w:rPr>
          <w:rFonts w:ascii="Times New Roman" w:hAnsi="Times New Roman" w:eastAsia="宋体"/>
          <w:b/>
          <w:color w:val="2C3E50"/>
          <w:sz w:val="26"/>
        </w:rPr>
        <w:t xml:space="preserve">6. Pax8 2024 Artificial Intelligence Buying Trends Report</w:t>
      </w:r>
    </w:p>
    <w:sectPr>
      <w:pgSz w:w="11906" w:h="16838"/>
      <w:pgMar w:top="1440" w:right="1474" w:bottom="1440" w:left="1474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overflowPunct w:val="false"/>
        <w:autoSpaceDE w:val="false"/>
        <w:autoSpaceDN w:val="false"/>
      </w:pPr>
    </w:pPrDefault>
  </w:docDefaults>
</w:styles>
</file>

<file path=word/_rels/document.xml.rels><?xml version='1.0' encoding='UTF-8' standalone='yes'?>
<Relationships xmlns="http://schemas.openxmlformats.org/package/2006/relationships"><Relationship Id="Rf8dd9cfd5c564cb1" Type="http://schemas.openxmlformats.org/officeDocument/2006/relationships/settings" Target="settings.xml"/><Relationship Id="R19e6d565d7fa41f5" Type="http://schemas.openxmlformats.org/officeDocument/2006/relationships/styles" Target="styles.xml"/><Relationship Id="Rc18850ed66ce4b3d" Type="http://schemas.openxmlformats.org/officeDocument/2006/relationships/numbering" Target="numbering.xml"/><Relationship Id="R6fcab5f5d14c4dac" Type="http://schemas.openxmlformats.org/officeDocument/2006/relationships/image" Target="../media/image.svg"/><Relationship Id="Raa58a708dd544433" Type="http://schemas.openxmlformats.org/officeDocument/2006/relationships/image" Target="../media/image2.svg"/><Relationship Id="R030ea8bf20cf46d3" Type="http://schemas.openxmlformats.org/officeDocument/2006/relationships/image" Target="../media/image3.svg"/><Relationship Id="R7a1fea111b0141bd" Type="http://schemas.openxmlformats.org/officeDocument/2006/relationships/image" Target="../media/image4.svg"/><Relationship Id="R1256a38e7e9141ed" Type="http://schemas.openxmlformats.org/officeDocument/2006/relationships/image" Target="../media/image5.svg"/><Relationship Id="Re274e799889b4a10" Type="http://schemas.openxmlformats.org/officeDocument/2006/relationships/image" Target="../media/image6.svg"/></Relationships>
</file>