
<file path=[Content_Types].xml><?xml version="1.0" encoding="utf-8"?>
<Types xmlns="http://schemas.openxmlformats.org/package/2006/content-types">
  <Default Extension="rels" ContentType="application/vnd.openxmlformats-package.relationships+xml"/>
  <Default Extension="xml" ContentType="application/xml"/>
  <Override PartName="/media/image.svg" ContentType="image/svg+xml"/>
  <Override PartName="/media/image2.svg" ContentType="image/svg+xml"/>
  <Override PartName="/media/image3.svg" ContentType="image/svg+xml"/>
  <Override PartName="/media/image4.svg" ContentType="image/svg+xml"/>
  <Override PartName="/media/image5.svg" ContentType="image/svg+xml"/>
  <Override PartName="/media/image6.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fc6714d62e5648ef" Type="http://schemas.openxmlformats.org/officeDocument/2006/relationships/officeDocument" Target="word/document.xml"/></Relationships>
</file>

<file path=word/document.xml><?xml version="1.0" encoding="utf-8"?>
<w:document xmlns:wp="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mc="http://schemas.openxmlformats.org/markup-compatibility/2006" xmlns:w14="http://schemas.microsoft.com/office/word/2010/wordml" mc:Ignorable="w14">
  <w:body>
    <w:p w14:paraId="00100000" w14:textId="00100001">
      <w:pPr>
        <w:pStyle w:val="Heading1"/>
        <w:spacing w:before="120" w:after="360" w:line="288" w:lineRule="auto"/>
        <w:jc w:val="center"/>
      </w:pPr>
      <w:r>
        <w:rPr>
          <w:rFonts w:ascii="Times New Roman" w:hAnsi="Times New Roman" w:eastAsia="Times New Roman"/>
          <w:b/>
          <w:color w:val="1F4E79"/>
          <w:sz w:val="36"/>
        </w:rPr>
        <w:t xml:space="preserve">Business Insight Report: Automated Customer Service and Review Sentiment Analysis System</w:t>
      </w:r>
    </w:p>
    <w:p w14:paraId="00100002" w14:textId="00100003">
      <w:pPr>
        <w:pStyle w:val="Heading2"/>
        <w:spacing w:before="240" w:after="120" w:line="288" w:lineRule="auto"/>
        <w:jc w:val="left"/>
      </w:pPr>
      <w:r>
        <w:rPr>
          <w:rFonts w:ascii="Times New Roman" w:hAnsi="Times New Roman" w:eastAsia="Times New Roman"/>
          <w:b/>
          <w:color w:val="2C3E50"/>
          <w:sz w:val="26"/>
        </w:rPr>
        <w:t xml:space="preserve">1. Venture Idea and Core Product Concept</w:t>
      </w:r>
    </w:p>
    <w:p w14:paraId="00100004" w14:textId="00100005">
      <w:pPr>
        <w:pStyle w:val="Normal"/>
        <w:spacing w:after="160" w:line="360" w:lineRule="auto"/>
        <w:ind w:firstLine="420"/>
        <w:jc w:val="both"/>
      </w:pPr>
      <w:r>
        <w:rPr>
          <w:rFonts w:ascii="Times New Roman" w:hAnsi="Times New Roman" w:eastAsia="Times New Roman"/>
          <w:color w:val="212121"/>
          <w:sz w:val="22"/>
        </w:rPr>
        <w:t xml:space="preserve">The venture is designed for small and medium-sized e-commerce sellers and local service businesses. It combines automated customer service, review sentiment analysis, and business insight generation into one workflow, helping merchants improve response efficiency, reduce repetitive support work, and turn scattered review data into operational decisions.</w:t>
      </w:r>
    </w:p>
    <w:p w14:paraId="00100006" w14:textId="00100007">
      <w:pPr>
        <w:pStyle w:val="Normal"/>
        <w:spacing w:after="160" w:line="360" w:lineRule="auto"/>
        <w:ind w:firstLine="420"/>
        <w:jc w:val="both"/>
      </w:pPr>
      <w:r>
        <w:rPr>
          <w:rFonts w:ascii="Times New Roman" w:hAnsi="Times New Roman" w:eastAsia="Times New Roman"/>
          <w:color w:val="212121"/>
          <w:sz w:val="22"/>
        </w:rPr>
        <w:t xml:space="preserve">The product is built around two linked capabilities: a RAG-grounded customer-service assistant and a review-insight engine. Together, they create a closed loop from customer feedback to business action.</w:t>
      </w:r>
    </w:p>
    <w:p w14:paraId="00100008" w14:textId="00100009">
      <w:pPr>
        <w:pStyle w:val="Heading2"/>
        <w:spacing w:before="240" w:after="120" w:line="288" w:lineRule="auto"/>
        <w:jc w:val="left"/>
      </w:pPr>
      <w:r>
        <w:rPr>
          <w:rFonts w:ascii="Times New Roman" w:hAnsi="Times New Roman" w:eastAsia="Times New Roman"/>
          <w:b/>
          <w:color w:val="2C3E50"/>
          <w:sz w:val="26"/>
        </w:rPr>
        <w:t xml:space="preserve">2. Value Proposition and Differentiation</w:t>
      </w:r>
    </w:p>
    <w:p w14:paraId="0010000A" w14:textId="0010000B">
      <w:pPr>
        <w:pStyle w:val="Normal"/>
        <w:spacing w:after="160" w:line="360" w:lineRule="auto"/>
        <w:ind w:firstLine="420"/>
        <w:jc w:val="both"/>
      </w:pPr>
      <w:r>
        <w:rPr>
          <w:rFonts w:ascii="Times New Roman" w:hAnsi="Times New Roman" w:eastAsia="Times New Roman"/>
          <w:color w:val="212121"/>
          <w:sz w:val="22"/>
        </w:rPr>
        <w:t xml:space="preserve">The product is not positioned as a total replacement for human agents. Instead, it acts as a customer-service efficiency layer, a review-intelligence layer, and a policy-execution layer for merchants that lack enterprise-scale support systems.</w:t>
      </w:r>
    </w:p>
    <w:p w14:paraId="0010000C" w14:textId="0010000D">
      <w:pPr>
        <w:pStyle w:val="Heading2"/>
        <w:spacing w:before="200" w:after="120" w:line="276" w:lineRule="auto"/>
        <w:jc w:val="center"/>
      </w:pPr>
      <w:r>
        <w:rPr>
          <w:rFonts w:ascii="Times New Roman" w:hAnsi="Times New Roman" w:eastAsia="Times New Roman"/>
          <w:b/>
          <w:color w:val="2C3E50"/>
          <w:sz w:val="22"/>
        </w:rPr>
        <w:t xml:space="preserve">Figure 1. Value Proposition and Differentiation</w:t>
      </w:r>
    </w:p>
    <w:p w14:paraId="0010000E" w14:textId="0010000F">
      <w:pPr>
        <w:spacing w:after="80" w:line="240" w:lineRule="auto"/>
        <w:jc w:val="center"/>
      </w:pPr>
      <w:r>
        <w:drawing>
          <wp:inline xmlns:wp="http://schemas.openxmlformats.org/drawingml/2006/wordprocessingDrawing" distT="0" distB="0" distL="0" distR="0">
            <wp:extent cx="5669280" cy="3246120"/>
            <wp:effectExtent l="0" t="0" r="0" b="0"/>
            <wp:docPr id="1" name="Figure 1. Value Proposition and Differentiation" descr="Figure 1. Value Proposition and Different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Value Proposition and Differentiation"/>
                    <pic:cNvPicPr/>
                  </pic:nvPicPr>
                  <pic:blipFill>
                    <a:blip xmlns:r="http://schemas.openxmlformats.org/officeDocument/2006/relationships" r:embed="R6297ca4e8b6a44e0" cstate="print"/>
                    <a:stretch>
                      <a:fillRect/>
                    </a:stretch>
                  </pic:blipFill>
                  <pic:spPr>
                    <a:xfrm>
                      <a:off x="0" y="0"/>
                      <a:ext cx="5669280" cy="3246120"/>
                    </a:xfrm>
                    <a:prstGeom prst="rect">
                      <a:avLst/>
                    </a:prstGeom>
                  </pic:spPr>
                </pic:pic>
              </a:graphicData>
            </a:graphic>
          </wp:inline>
        </w:drawing>
      </w:r>
    </w:p>
    <w:p w14:paraId="00100010" w14:textId="00100011">
      <w:pPr>
        <w:spacing w:after="160" w:line="360" w:lineRule="auto"/>
        <w:ind w:firstLine="420"/>
        <w:jc w:val="both"/>
      </w:pPr>
      <w:r>
        <w:rPr>
          <w:rFonts w:ascii="Times New Roman" w:hAnsi="Times New Roman" w:eastAsia="Times New Roman"/>
          <w:color w:val="212121"/>
          <w:sz w:val="22"/>
        </w:rPr>
        <w:t xml:space="preserve">This figure shows that the product is positioned as an operations tool, not just a chatbot.</w:t>
      </w:r>
    </w:p>
    <w:p w14:paraId="00100012" w14:textId="00100013">
      <w:pPr>
        <w:pStyle w:val="Normal"/>
        <w:spacing w:after="160" w:line="360" w:lineRule="auto"/>
        <w:ind w:firstLine="420"/>
        <w:jc w:val="both"/>
      </w:pPr>
      <w:r>
        <w:rPr>
          <w:rFonts w:ascii="Times New Roman" w:hAnsi="Times New Roman" w:eastAsia="Times New Roman"/>
          <w:color w:val="212121"/>
          <w:sz w:val="22"/>
        </w:rPr>
        <w:t xml:space="preserve">Its differentiation comes from merchant-specific rule grounding, structured pain-point extraction, and the ability to connect customer-facing replies with back-office review analytics in one workflow.</w:t>
      </w:r>
    </w:p>
    <w:p w14:paraId="00100014" w14:textId="00100015">
      <w:pPr>
        <w:pStyle w:val="Heading2"/>
        <w:spacing w:before="240" w:after="120" w:line="288" w:lineRule="auto"/>
        <w:jc w:val="left"/>
      </w:pPr>
      <w:r>
        <w:rPr>
          <w:rFonts w:ascii="Times New Roman" w:hAnsi="Times New Roman" w:eastAsia="Times New Roman"/>
          <w:b/>
          <w:color w:val="2C3E50"/>
          <w:sz w:val="26"/>
        </w:rPr>
        <w:t xml:space="preserve">3. Target Market and Positioning</w:t>
      </w:r>
    </w:p>
    <w:p w14:paraId="00100016" w14:textId="00100017">
      <w:pPr>
        <w:pStyle w:val="Normal"/>
        <w:spacing w:after="160" w:line="360" w:lineRule="auto"/>
        <w:ind w:firstLine="420"/>
        <w:jc w:val="both"/>
      </w:pPr>
      <w:r>
        <w:rPr>
          <w:rFonts w:ascii="Times New Roman" w:hAnsi="Times New Roman" w:eastAsia="Times New Roman"/>
          <w:color w:val="212121"/>
          <w:sz w:val="22"/>
        </w:rPr>
        <w:t xml:space="preserve">The target market includes merchants with high review volume, frequent after-sales inquiries, and limited analytics capacity, especially in categories such as apparel, consumer electronics, fresh food, hospitality, and home products.</w:t>
      </w:r>
    </w:p>
    <w:p w14:paraId="00100018" w14:textId="00100019">
      <w:pPr>
        <w:pStyle w:val="Normal"/>
        <w:spacing w:after="160" w:line="360" w:lineRule="auto"/>
        <w:ind w:firstLine="420"/>
        <w:jc w:val="both"/>
      </w:pPr>
      <w:r>
        <w:rPr>
          <w:rFonts w:ascii="Times New Roman" w:hAnsi="Times New Roman" w:eastAsia="Times New Roman"/>
          <w:color w:val="212121"/>
          <w:sz w:val="22"/>
        </w:rPr>
        <w:t xml:space="preserve">The product should enter the market as a low-friction, high-ROI operating tool rather than compete head-on with enterprise CRM or full contact-center suites.</w:t>
      </w:r>
    </w:p>
    <w:p w14:paraId="0010001A" w14:textId="0010001B">
      <w:pPr>
        <w:pStyle w:val="Heading2"/>
        <w:spacing w:before="240" w:after="120" w:line="288" w:lineRule="auto"/>
        <w:jc w:val="left"/>
      </w:pPr>
      <w:r>
        <w:rPr>
          <w:rFonts w:ascii="Times New Roman" w:hAnsi="Times New Roman" w:eastAsia="Times New Roman"/>
          <w:b/>
          <w:color w:val="2C3E50"/>
          <w:sz w:val="26"/>
        </w:rPr>
        <w:t xml:space="preserve">4. Market Landscape</w:t>
      </w:r>
    </w:p>
    <w:p w14:paraId="0010001C" w14:textId="0010001D">
      <w:pPr>
        <w:pStyle w:val="Normal"/>
        <w:spacing w:after="160" w:line="360" w:lineRule="auto"/>
        <w:ind w:firstLine="420"/>
        <w:jc w:val="both"/>
      </w:pPr>
      <w:r>
        <w:rPr>
          <w:rFonts w:ascii="Times New Roman" w:hAnsi="Times New Roman" w:eastAsia="Times New Roman"/>
          <w:color w:val="212121"/>
          <w:sz w:val="22"/>
        </w:rPr>
        <w:t xml:space="preserve">Three forces support the opportunity: consumers increasingly accept digital support, reviews heavily influence purchase decisions, and e-commerce experience is highly sensitive to service and fulfillment quality.</w:t>
      </w:r>
    </w:p>
    <w:p w14:paraId="0010001E" w14:textId="0010001F">
      <w:pPr>
        <w:pStyle w:val="Normal"/>
        <w:spacing w:after="160" w:line="360" w:lineRule="auto"/>
        <w:ind w:firstLine="420"/>
        <w:jc w:val="both"/>
      </w:pPr>
      <w:r>
        <w:rPr>
          <w:rFonts w:ascii="Times New Roman" w:hAnsi="Times New Roman" w:eastAsia="Times New Roman"/>
          <w:color w:val="212121"/>
          <w:sz w:val="22"/>
        </w:rPr>
        <w:t xml:space="preserve">Competing alternatives include human outsourcing, rule-based bots, generic LLM workflows, and large customer-experience suites. The opportunity lies in serving SMB merchants who need more control than generic AI but less complexity than enterprise platforms.</w:t>
      </w:r>
    </w:p>
    <w:p w14:paraId="00100020" w14:textId="00100021">
      <w:pPr>
        <w:pStyle w:val="Heading2"/>
        <w:spacing w:before="200" w:after="120" w:line="276" w:lineRule="auto"/>
        <w:jc w:val="center"/>
      </w:pPr>
      <w:r>
        <w:rPr>
          <w:rFonts w:ascii="Times New Roman" w:hAnsi="Times New Roman" w:eastAsia="Times New Roman"/>
          <w:b/>
          <w:color w:val="2C3E50"/>
          <w:sz w:val="22"/>
        </w:rPr>
        <w:t xml:space="preserve">Figure 2. Competitive Positioning Matrix</w:t>
      </w:r>
    </w:p>
    <w:p w14:paraId="00100022" w14:textId="00100023">
      <w:pPr>
        <w:spacing w:after="80" w:line="240" w:lineRule="auto"/>
        <w:jc w:val="center"/>
      </w:pPr>
      <w:r>
        <w:drawing>
          <wp:inline distT="0" distB="0" distL="0" distR="0">
            <wp:extent cx="5669280" cy="3246120"/>
            <wp:effectExtent l="0" t="0" r="0" b="0"/>
            <wp:docPr id="2" name="Figure 2. Competitive Positioning Matrix" descr="Figure 2. Competitive Positioning Matrix"/>
            <wp:cNvGraphicFramePr>
              <a:graphicFrameLocks noChangeAspect="1"/>
            </wp:cNvGraphicFramePr>
            <a:graphic>
              <a:graphicData uri="http://schemas.openxmlformats.org/drawingml/2006/picture">
                <pic:pic>
                  <pic:nvPicPr>
                    <pic:cNvPr id="2" name="Figure 2. Competitive Positioning Matrix"/>
                    <pic:cNvPicPr/>
                  </pic:nvPicPr>
                  <pic:blipFill>
                    <a:blip r:embed="R965e401e830f41f5" cstate="print"/>
                    <a:stretch>
                      <a:fillRect/>
                    </a:stretch>
                  </pic:blipFill>
                  <pic:spPr>
                    <a:xfrm>
                      <a:off x="0" y="0"/>
                      <a:ext cx="5669280" cy="3246120"/>
                    </a:xfrm>
                    <a:prstGeom prst="rect">
                      <a:avLst/>
                    </a:prstGeom>
                  </pic:spPr>
                </pic:pic>
              </a:graphicData>
            </a:graphic>
          </wp:inline>
        </w:drawing>
      </w:r>
    </w:p>
    <w:p w14:paraId="00100024" w14:textId="00100025">
      <w:pPr>
        <w:spacing w:after="160" w:line="360" w:lineRule="auto"/>
        <w:ind w:firstLine="420"/>
        <w:jc w:val="both"/>
      </w:pPr>
      <w:r>
        <w:rPr>
          <w:rFonts w:ascii="Times New Roman" w:hAnsi="Times New Roman" w:eastAsia="Times New Roman"/>
          <w:color w:val="212121"/>
          <w:sz w:val="22"/>
        </w:rPr>
        <w:t xml:space="preserve">The matrix highlights the project’s wedge: combining policy control, reply flexibility, and review analytics.</w:t>
      </w:r>
    </w:p>
    <w:p w14:paraId="00100026" w14:textId="00100027">
      <w:pPr>
        <w:pStyle w:val="Normal"/>
        <w:spacing w:after="160" w:line="360" w:lineRule="auto"/>
        <w:ind w:firstLine="420"/>
        <w:jc w:val="both"/>
      </w:pPr>
      <w:r>
        <w:rPr>
          <w:rFonts w:ascii="Times New Roman" w:hAnsi="Times New Roman" w:eastAsia="Times New Roman"/>
          <w:color w:val="212121"/>
          <w:sz w:val="22"/>
        </w:rPr>
        <w:t xml:space="preserve">Industry growth is also supportive. AI for customer service is now a rapidly expanding market, with retail and e-commerce among the fastest-growing end-use segments.</w:t>
      </w:r>
    </w:p>
    <w:p w14:paraId="00100028" w14:textId="00100029">
      <w:pPr>
        <w:pStyle w:val="Heading2"/>
        <w:spacing w:before="240" w:after="120" w:line="288" w:lineRule="auto"/>
        <w:jc w:val="left"/>
      </w:pPr>
      <w:r>
        <w:rPr>
          <w:rFonts w:ascii="Times New Roman" w:hAnsi="Times New Roman" w:eastAsia="Times New Roman"/>
          <w:b/>
          <w:color w:val="2C3E50"/>
          <w:sz w:val="26"/>
        </w:rPr>
        <w:t xml:space="preserve">5. Evidence and Internal Data</w:t>
      </w:r>
    </w:p>
    <w:p w14:paraId="0010002A" w14:textId="0010002B">
      <w:pPr>
        <w:pStyle w:val="Normal"/>
        <w:spacing w:after="160" w:line="360" w:lineRule="auto"/>
        <w:ind w:firstLine="420"/>
        <w:jc w:val="both"/>
      </w:pPr>
      <w:r>
        <w:rPr>
          <w:rFonts w:ascii="Times New Roman" w:hAnsi="Times New Roman" w:eastAsia="Times New Roman"/>
          <w:color w:val="212121"/>
          <w:sz w:val="22"/>
        </w:rPr>
        <w:t xml:space="preserve">The project currently includes 1000.0 raw reviews across 10.0 categories. On a gold test set of 200.0 labeled reviews, sentiment analysis achieved 92.5% overall accuracy with an average confidence score of 0.878. In the evaluation set, the system predicted 76.0 positive, 27.0 neutral, and 97.0 negative cases.</w:t>
      </w:r>
    </w:p>
    <w:p w14:paraId="0010002C" w14:textId="0010002D">
      <w:pPr>
        <w:pStyle w:val="Normal"/>
        <w:spacing w:after="160" w:line="360" w:lineRule="auto"/>
        <w:ind w:firstLine="420"/>
        <w:jc w:val="both"/>
      </w:pPr>
      <w:r>
        <w:rPr>
          <w:rFonts w:ascii="Times New Roman" w:hAnsi="Times New Roman" w:eastAsia="Times New Roman"/>
          <w:color w:val="212121"/>
          <w:sz w:val="22"/>
        </w:rPr>
        <w:t xml:space="preserve">These results show that the prototype has already moved beyond a purely conceptual stage. It can provide structured outputs that are useful for merchants, especially in negative-review detection and after-sales response scenarios.</w:t>
      </w:r>
    </w:p>
    <w:p w14:paraId="0010002E" w14:textId="0010002F">
      <w:pPr>
        <w:spacing w:before="40" w:after="80" w:line="276" w:lineRule="auto"/>
        <w:ind w:firstLine="0"/>
        <w:jc w:val="center"/>
        <w:shd w:val="clear" w:color="auto" w:fill="EEF4FB"/>
      </w:pPr>
      <w:r>
        <w:rPr>
          <w:rFonts w:ascii="Times New Roman" w:hAnsi="Times New Roman" w:eastAsia="Times New Roman"/>
          <w:b/>
          <w:color w:val="27496D"/>
          <w:sz w:val="22"/>
        </w:rPr>
        <w:t xml:space="preserve">Raw review sample size: 1000.0 | Covered categories: 10.0</w:t>
      </w:r>
    </w:p>
    <w:p w14:paraId="00100030" w14:textId="00100031">
      <w:pPr>
        <w:spacing w:before="40" w:after="80" w:line="276" w:lineRule="auto"/>
        <w:ind w:firstLine="0"/>
        <w:jc w:val="center"/>
        <w:shd w:val="clear" w:color="auto" w:fill="EEF4FB"/>
      </w:pPr>
      <w:r>
        <w:rPr>
          <w:rFonts w:ascii="Times New Roman" w:hAnsi="Times New Roman" w:eastAsia="Times New Roman"/>
          <w:b/>
          <w:color w:val="27496D"/>
          <w:sz w:val="22"/>
        </w:rPr>
        <w:t xml:space="preserve">Gold test set size: 200.0 | Overall sentiment accuracy: 92.5%</w:t>
      </w:r>
    </w:p>
    <w:p w14:paraId="00100032" w14:textId="00100033">
      <w:pPr>
        <w:spacing w:before="40" w:after="80" w:line="276" w:lineRule="auto"/>
        <w:ind w:firstLine="0"/>
        <w:jc w:val="center"/>
        <w:shd w:val="clear" w:color="auto" w:fill="EEF4FB"/>
      </w:pPr>
      <w:r>
        <w:rPr>
          <w:rFonts w:ascii="Times New Roman" w:hAnsi="Times New Roman" w:eastAsia="Times New Roman"/>
          <w:b/>
          <w:color w:val="27496D"/>
          <w:sz w:val="22"/>
        </w:rPr>
        <w:t xml:space="preserve">Average model confidence: 0.878</w:t>
      </w:r>
    </w:p>
    <w:p w14:paraId="00100034" w14:textId="00100035">
      <w:pPr>
        <w:pStyle w:val="Normal"/>
        <w:spacing w:after="160" w:line="360" w:lineRule="auto"/>
        <w:ind w:firstLine="420"/>
        <w:jc w:val="both"/>
      </w:pPr>
      <w:r>
        <w:rPr>
          <w:rFonts w:ascii="Times New Roman" w:hAnsi="Times New Roman" w:eastAsia="Times New Roman"/>
          <w:color w:val="212121"/>
          <w:sz w:val="22"/>
        </w:rPr>
        <w:t xml:space="preserve">The raw review distribution is led by these categories: 平板 171, 酒店 166, 洗发水 160, 水果 156, 衣服 148. Among negative reviews, the most frequent pain points are 质量差 18, 尺寸不符 6, 质量不符 2, 疑似假货 2, 客服态度差 2, with product quality issues standing out as the most urgent operational problem.</w:t>
      </w:r>
    </w:p>
    <w:p w14:paraId="00100036" w14:textId="00100037">
      <w:pPr>
        <w:pStyle w:val="Heading2"/>
        <w:spacing w:before="200" w:after="120" w:line="276" w:lineRule="auto"/>
        <w:jc w:val="center"/>
      </w:pPr>
      <w:r>
        <w:rPr>
          <w:rFonts w:ascii="Times New Roman" w:hAnsi="Times New Roman" w:eastAsia="Times New Roman"/>
          <w:b/>
          <w:color w:val="2C3E50"/>
          <w:sz w:val="22"/>
        </w:rPr>
        <w:t xml:space="preserve">Figure 3. Category Distribution</w:t>
      </w:r>
    </w:p>
    <w:p w14:paraId="00100038" w14:textId="00100039">
      <w:pPr>
        <w:spacing w:after="80" w:line="240" w:lineRule="auto"/>
        <w:jc w:val="center"/>
      </w:pPr>
      <w:r>
        <w:drawing>
          <wp:inline distT="0" distB="0" distL="0" distR="0">
            <wp:extent cx="5669280" cy="3246120"/>
            <wp:effectExtent l="0" t="0" r="0" b="0"/>
            <wp:docPr id="3" name="Figure 3. Category Distribution" descr="Figure 3. Category Distribution"/>
            <wp:cNvGraphicFramePr>
              <a:graphicFrameLocks noChangeAspect="1"/>
            </wp:cNvGraphicFramePr>
            <a:graphic>
              <a:graphicData uri="http://schemas.openxmlformats.org/drawingml/2006/picture">
                <pic:pic>
                  <pic:nvPicPr>
                    <pic:cNvPr id="3" name="Figure 3. Category Distribution"/>
                    <pic:cNvPicPr/>
                  </pic:nvPicPr>
                  <pic:blipFill>
                    <a:blip r:embed="Rfdcd188de5904d85" cstate="print"/>
                    <a:stretch>
                      <a:fillRect/>
                    </a:stretch>
                  </pic:blipFill>
                  <pic:spPr>
                    <a:xfrm>
                      <a:off x="0" y="0"/>
                      <a:ext cx="5669280" cy="3246120"/>
                    </a:xfrm>
                    <a:prstGeom prst="rect">
                      <a:avLst/>
                    </a:prstGeom>
                  </pic:spPr>
                </pic:pic>
              </a:graphicData>
            </a:graphic>
          </wp:inline>
        </w:drawing>
      </w:r>
    </w:p>
    <w:p w14:paraId="0010003A" w14:textId="0010003B">
      <w:pPr>
        <w:spacing w:after="240" w:line="288" w:lineRule="auto"/>
        <w:ind w:firstLine="0"/>
        <w:jc w:val="center"/>
      </w:pPr>
      <w:r>
        <w:rPr>
          <w:rFonts w:ascii="Times New Roman" w:hAnsi="Times New Roman" w:eastAsia="Times New Roman"/>
          <w:color w:val="5A5A5A"/>
          <w:sz w:val="20"/>
        </w:rPr>
        <w:t xml:space="preserve">This chart shows that the project already covers ten categories and is not limited to a single niche.</w:t>
      </w:r>
    </w:p>
    <w:p w14:paraId="0010003C" w14:textId="0010003D">
      <w:pPr>
        <w:pStyle w:val="Heading2"/>
        <w:spacing w:before="200" w:after="120" w:line="276" w:lineRule="auto"/>
        <w:jc w:val="center"/>
      </w:pPr>
      <w:r>
        <w:rPr>
          <w:rFonts w:ascii="Times New Roman" w:hAnsi="Times New Roman" w:eastAsia="Times New Roman"/>
          <w:b/>
          <w:color w:val="2C3E50"/>
          <w:sz w:val="22"/>
        </w:rPr>
        <w:t xml:space="preserve">Figure 4. Sentiment Distribution</w:t>
      </w:r>
    </w:p>
    <w:p w14:paraId="0010003E" w14:textId="0010003F">
      <w:pPr>
        <w:spacing w:after="80" w:line="240" w:lineRule="auto"/>
        <w:jc w:val="center"/>
      </w:pPr>
      <w:r>
        <w:drawing>
          <wp:inline distT="0" distB="0" distL="0" distR="0">
            <wp:extent cx="5669280" cy="3246120"/>
            <wp:effectExtent l="0" t="0" r="0" b="0"/>
            <wp:docPr id="4" name="Figure 4. Sentiment Distribution" descr="Figure 4. Sentiment Distribution"/>
            <wp:cNvGraphicFramePr>
              <a:graphicFrameLocks noChangeAspect="1"/>
            </wp:cNvGraphicFramePr>
            <a:graphic>
              <a:graphicData uri="http://schemas.openxmlformats.org/drawingml/2006/picture">
                <pic:pic>
                  <pic:nvPicPr>
                    <pic:cNvPr id="4" name="Figure 4. Sentiment Distribution"/>
                    <pic:cNvPicPr/>
                  </pic:nvPicPr>
                  <pic:blipFill>
                    <a:blip r:embed="Re25d50531403440c" cstate="print"/>
                    <a:stretch>
                      <a:fillRect/>
                    </a:stretch>
                  </pic:blipFill>
                  <pic:spPr>
                    <a:xfrm>
                      <a:off x="0" y="0"/>
                      <a:ext cx="5669280" cy="3246120"/>
                    </a:xfrm>
                    <a:prstGeom prst="rect">
                      <a:avLst/>
                    </a:prstGeom>
                  </pic:spPr>
                </pic:pic>
              </a:graphicData>
            </a:graphic>
          </wp:inline>
        </w:drawing>
      </w:r>
    </w:p>
    <w:p w14:paraId="00100040" w14:textId="00100041">
      <w:pPr>
        <w:spacing w:after="240" w:line="288" w:lineRule="auto"/>
        <w:ind w:firstLine="0"/>
        <w:jc w:val="center"/>
      </w:pPr>
      <w:r>
        <w:rPr>
          <w:rFonts w:ascii="Times New Roman" w:hAnsi="Times New Roman" w:eastAsia="Times New Roman"/>
          <w:color w:val="5A5A5A"/>
          <w:sz w:val="20"/>
        </w:rPr>
        <w:t xml:space="preserve">The evaluation distribution confirms that the system is able to capture negative reviews at a useful level for operations.</w:t>
      </w:r>
    </w:p>
    <w:p w14:paraId="00100042" w14:textId="00100043">
      <w:pPr>
        <w:pStyle w:val="Heading2"/>
        <w:spacing w:before="200" w:after="120" w:line="276" w:lineRule="auto"/>
        <w:jc w:val="center"/>
      </w:pPr>
      <w:r>
        <w:rPr>
          <w:rFonts w:ascii="Times New Roman" w:hAnsi="Times New Roman" w:eastAsia="Times New Roman"/>
          <w:b/>
          <w:color w:val="2C3E50"/>
          <w:sz w:val="22"/>
        </w:rPr>
        <w:t xml:space="preserve">Figure 5. Top Pain Points</w:t>
      </w:r>
    </w:p>
    <w:p w14:paraId="00100044" w14:textId="00100045">
      <w:pPr>
        <w:spacing w:after="80" w:line="240" w:lineRule="auto"/>
        <w:jc w:val="center"/>
      </w:pPr>
      <w:r>
        <w:drawing>
          <wp:inline distT="0" distB="0" distL="0" distR="0">
            <wp:extent cx="5669280" cy="3246120"/>
            <wp:effectExtent l="0" t="0" r="0" b="0"/>
            <wp:docPr id="5" name="Figure 5. Top Pain Points" descr="Figure 5. Top Pain Points"/>
            <wp:cNvGraphicFramePr>
              <a:graphicFrameLocks noChangeAspect="1"/>
            </wp:cNvGraphicFramePr>
            <a:graphic>
              <a:graphicData uri="http://schemas.openxmlformats.org/drawingml/2006/picture">
                <pic:pic>
                  <pic:nvPicPr>
                    <pic:cNvPr id="5" name="Figure 5. Top Pain Points"/>
                    <pic:cNvPicPr/>
                  </pic:nvPicPr>
                  <pic:blipFill>
                    <a:blip r:embed="Ra0c28507d9074910" cstate="print"/>
                    <a:stretch>
                      <a:fillRect/>
                    </a:stretch>
                  </pic:blipFill>
                  <pic:spPr>
                    <a:xfrm>
                      <a:off x="0" y="0"/>
                      <a:ext cx="5669280" cy="3246120"/>
                    </a:xfrm>
                    <a:prstGeom prst="rect">
                      <a:avLst/>
                    </a:prstGeom>
                  </pic:spPr>
                </pic:pic>
              </a:graphicData>
            </a:graphic>
          </wp:inline>
        </w:drawing>
      </w:r>
    </w:p>
    <w:p w14:paraId="00100046" w14:textId="00100047">
      <w:pPr>
        <w:spacing w:after="240" w:line="288" w:lineRule="auto"/>
        <w:ind w:firstLine="0"/>
        <w:jc w:val="center"/>
      </w:pPr>
      <w:r>
        <w:rPr>
          <w:rFonts w:ascii="Times New Roman" w:hAnsi="Times New Roman" w:eastAsia="Times New Roman"/>
          <w:color w:val="5A5A5A"/>
          <w:sz w:val="20"/>
        </w:rPr>
        <w:t xml:space="preserve">The concentration of quality-related complaints suggests that product quality should be treated as the first operational priority.</w:t>
      </w:r>
    </w:p>
    <w:p w14:paraId="00100048" w14:textId="00100049">
      <w:pPr>
        <w:pStyle w:val="Heading2"/>
        <w:spacing w:before="240" w:after="120" w:line="288" w:lineRule="auto"/>
        <w:jc w:val="left"/>
      </w:pPr>
      <w:r>
        <w:rPr>
          <w:rFonts w:ascii="Times New Roman" w:hAnsi="Times New Roman" w:eastAsia="Times New Roman"/>
          <w:b/>
          <w:color w:val="2C3E50"/>
          <w:sz w:val="26"/>
        </w:rPr>
        <w:t xml:space="preserve">6. Business Model and Growth Strategy</w:t>
      </w:r>
    </w:p>
    <w:p w14:paraId="0010004A" w14:textId="0010004B">
      <w:pPr>
        <w:pStyle w:val="Normal"/>
        <w:spacing w:after="160" w:line="360" w:lineRule="auto"/>
        <w:ind w:firstLine="420"/>
        <w:jc w:val="both"/>
      </w:pPr>
      <w:r>
        <w:rPr>
          <w:rFonts w:ascii="Times New Roman" w:hAnsi="Times New Roman" w:eastAsia="Times New Roman"/>
          <w:color w:val="212121"/>
          <w:sz w:val="22"/>
        </w:rPr>
        <w:t xml:space="preserve">A SaaS subscription with usage tiers is the most practical pricing model. The Basic plan lowers adoption friction, the Pro plan supports growth-stage merchants, and the Enterprise plan addresses deployment and governance needs.</w:t>
      </w:r>
    </w:p>
    <w:p w14:paraId="0010004C" w14:textId="0010004D">
      <w:pPr>
        <w:pStyle w:val="Normal"/>
        <w:spacing w:after="160" w:line="360" w:lineRule="auto"/>
        <w:ind w:firstLine="420"/>
        <w:jc w:val="both"/>
      </w:pPr>
      <w:r>
        <w:rPr>
          <w:rFonts w:ascii="Times New Roman" w:hAnsi="Times New Roman" w:eastAsia="Times New Roman"/>
          <w:color w:val="212121"/>
          <w:sz w:val="22"/>
        </w:rPr>
        <w:t xml:space="preserve">The recommended market-entry strategy is to start with negative-review monitoring and after-sales reply automation, then expand into monthly insight reporting, knowledge-base features, and broader workflow automation.</w:t>
      </w:r>
    </w:p>
    <w:p w14:paraId="0010004E" w14:textId="0010004F">
      <w:pPr>
        <w:pStyle w:val="Heading2"/>
        <w:spacing w:before="200" w:after="120" w:line="276" w:lineRule="auto"/>
        <w:jc w:val="center"/>
      </w:pPr>
      <w:r>
        <w:rPr>
          <w:rFonts w:ascii="Times New Roman" w:hAnsi="Times New Roman" w:eastAsia="Times New Roman"/>
          <w:b/>
          <w:color w:val="2C3E50"/>
          <w:sz w:val="22"/>
        </w:rPr>
        <w:t xml:space="preserve">Figure 6. Pricing and Growth Path</w:t>
      </w:r>
    </w:p>
    <w:p w14:paraId="00100050" w14:textId="00100051">
      <w:pPr>
        <w:spacing w:after="80" w:line="240" w:lineRule="auto"/>
        <w:jc w:val="center"/>
      </w:pPr>
      <w:r>
        <w:drawing>
          <wp:inline distT="0" distB="0" distL="0" distR="0">
            <wp:extent cx="5669280" cy="3246120"/>
            <wp:effectExtent l="0" t="0" r="0" b="0"/>
            <wp:docPr id="6" name="Figure 6. Pricing and Growth Path" descr="Figure 6. Pricing and Growth Path"/>
            <wp:cNvGraphicFramePr>
              <a:graphicFrameLocks noChangeAspect="1"/>
            </wp:cNvGraphicFramePr>
            <a:graphic>
              <a:graphicData uri="http://schemas.openxmlformats.org/drawingml/2006/picture">
                <pic:pic>
                  <pic:nvPicPr>
                    <pic:cNvPr id="6" name="Figure 6. Pricing and Growth Path"/>
                    <pic:cNvPicPr/>
                  </pic:nvPicPr>
                  <pic:blipFill>
                    <a:blip r:embed="R5204bd63890b4b17" cstate="print"/>
                    <a:stretch>
                      <a:fillRect/>
                    </a:stretch>
                  </pic:blipFill>
                  <pic:spPr>
                    <a:xfrm>
                      <a:off x="0" y="0"/>
                      <a:ext cx="5669280" cy="3246120"/>
                    </a:xfrm>
                    <a:prstGeom prst="rect">
                      <a:avLst/>
                    </a:prstGeom>
                  </pic:spPr>
                </pic:pic>
              </a:graphicData>
            </a:graphic>
          </wp:inline>
        </w:drawing>
      </w:r>
    </w:p>
    <w:p w14:paraId="00100052" w14:textId="00100053">
      <w:pPr>
        <w:spacing w:after="160" w:line="360" w:lineRule="auto"/>
        <w:ind w:firstLine="420"/>
        <w:jc w:val="both"/>
      </w:pPr>
      <w:r>
        <w:rPr>
          <w:rFonts w:ascii="Times New Roman" w:hAnsi="Times New Roman" w:eastAsia="Times New Roman"/>
          <w:color w:val="212121"/>
          <w:sz w:val="22"/>
        </w:rPr>
        <w:t xml:space="preserve">The figure outlines a tiered pricing model and a phased go-to-market path designed to reduce early adoption friction.</w:t>
      </w:r>
    </w:p>
    <w:p w14:paraId="00100054" w14:textId="00100055">
      <w:pPr>
        <w:pStyle w:val="Normal"/>
        <w:spacing w:after="160" w:line="360" w:lineRule="auto"/>
        <w:ind w:firstLine="420"/>
        <w:jc w:val="both"/>
      </w:pPr>
      <w:r>
        <w:rPr>
          <w:rFonts w:ascii="Times New Roman" w:hAnsi="Times New Roman" w:eastAsia="Times New Roman"/>
          <w:color w:val="212121"/>
          <w:sz w:val="22"/>
        </w:rPr>
        <w:t xml:space="preserve">Marketing should emphasize measurable outcomes rather than AI buzzwords. What sells is faster response, clearer issue diagnosis, and operational recommendations tied to review data.</w:t>
      </w:r>
    </w:p>
    <w:p w14:paraId="00100056" w14:textId="00100057">
      <w:pPr>
        <w:pStyle w:val="Heading2"/>
        <w:spacing w:before="240" w:after="120" w:line="288" w:lineRule="auto"/>
        <w:jc w:val="left"/>
      </w:pPr>
      <w:r>
        <w:rPr>
          <w:rFonts w:ascii="Times New Roman" w:hAnsi="Times New Roman" w:eastAsia="Times New Roman"/>
          <w:b/>
          <w:color w:val="2C3E50"/>
          <w:sz w:val="26"/>
        </w:rPr>
        <w:t xml:space="preserve">7. Conclusion</w:t>
      </w:r>
    </w:p>
    <w:p w14:paraId="00100058" w14:textId="00100059">
      <w:pPr>
        <w:pStyle w:val="Normal"/>
        <w:spacing w:after="160" w:line="360" w:lineRule="auto"/>
        <w:ind w:firstLine="420"/>
        <w:jc w:val="both"/>
      </w:pPr>
      <w:r>
        <w:rPr>
          <w:rFonts w:ascii="Times New Roman" w:hAnsi="Times New Roman" w:eastAsia="Times New Roman"/>
          <w:color w:val="212121"/>
          <w:sz w:val="22"/>
        </w:rPr>
        <w:t xml:space="preserve">The project is not simply an AI chatbot. It is an operations-oriented AI system designed around real merchant pain points. Its value lies in reducing support workload, improving issue detection, and turning unstructured review data into merchant decisions.</w:t>
      </w:r>
    </w:p>
    <w:p w14:paraId="0010005A" w14:textId="0010005B">
      <w:pPr>
        <w:pStyle w:val="Normal"/>
        <w:spacing w:after="160" w:line="360" w:lineRule="auto"/>
        <w:ind w:firstLine="420"/>
        <w:jc w:val="both"/>
      </w:pPr>
      <w:r>
        <w:rPr>
          <w:rFonts w:ascii="Times New Roman" w:hAnsi="Times New Roman" w:eastAsia="Times New Roman"/>
          <w:color w:val="212121"/>
          <w:sz w:val="22"/>
        </w:rPr>
        <w:t xml:space="preserve">With more real merchant pilots and quantified ROI metrics such as labor hours saved, faster complaint response, and product-quality improvement, the venture can become significantly more compelling to partners and early customers.</w:t>
      </w:r>
    </w:p>
    <w:sectPr>
      <w:pgSz w:w="11906" w:h="16838"/>
      <w:pgMar w:top="1440" w:right="1474" w:bottom="1440" w:left="1474"/>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doNotFlipMirrorIndents" w:uri="http://schemas.microsoft.com/office/word" w:val="1"/>
  </w:compat>
</w:settings>
</file>

<file path=word/styles.xml><?xml version="1.0" encoding="utf-8"?>
<w:styles xmlns:w="http://schemas.openxmlformats.org/wordprocessingml/2006/main">
  <w:docDefaults>
    <w:pPrDefault>
      <w:pPr>
        <w:kinsoku w:val="false"/>
        <w:overflowPunct w:val="false"/>
        <w:autoSpaceDE w:val="false"/>
        <w:autoSpaceDN w:val="false"/>
      </w:pPr>
    </w:pPrDefault>
  </w:docDefaults>
</w:styles>
</file>

<file path=word/_rels/document.xml.rels><?xml version='1.0' encoding='UTF-8' standalone='yes'?>
<Relationships xmlns="http://schemas.openxmlformats.org/package/2006/relationships"><Relationship Id="R832d355714954c6c" Type="http://schemas.openxmlformats.org/officeDocument/2006/relationships/settings" Target="settings.xml"/><Relationship Id="Re04930ad420f4c5a" Type="http://schemas.openxmlformats.org/officeDocument/2006/relationships/styles" Target="styles.xml"/><Relationship Id="R19fd856f9a2845f6" Type="http://schemas.openxmlformats.org/officeDocument/2006/relationships/numbering" Target="numbering.xml"/><Relationship Id="R6297ca4e8b6a44e0" Type="http://schemas.openxmlformats.org/officeDocument/2006/relationships/image" Target="../media/image.svg"/><Relationship Id="R965e401e830f41f5" Type="http://schemas.openxmlformats.org/officeDocument/2006/relationships/image" Target="../media/image2.svg"/><Relationship Id="Rfdcd188de5904d85" Type="http://schemas.openxmlformats.org/officeDocument/2006/relationships/image" Target="../media/image3.svg"/><Relationship Id="Re25d50531403440c" Type="http://schemas.openxmlformats.org/officeDocument/2006/relationships/image" Target="../media/image4.svg"/><Relationship Id="Ra0c28507d9074910" Type="http://schemas.openxmlformats.org/officeDocument/2006/relationships/image" Target="../media/image5.svg"/><Relationship Id="R5204bd63890b4b17" Type="http://schemas.openxmlformats.org/officeDocument/2006/relationships/image" Target="../media/image6.svg"/></Relationships>
</file>