
<file path=[Content_Types].xml><?xml version="1.0" encoding="utf-8"?>
<Types xmlns="http://schemas.openxmlformats.org/package/2006/content-types">
  <Default Extension="rels" ContentType="application/vnd.openxmlformats-package.relationships+xml"/>
  <Default Extension="xml" ContentType="application/xml"/>
  <Override PartName="/media/image.svg" ContentType="image/svg+xml"/>
  <Override PartName="/media/image2.svg" ContentType="image/svg+xml"/>
  <Override PartName="/media/image3.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906a1a6a811a4f7a" Type="http://schemas.openxmlformats.org/officeDocument/2006/relationships/officeDocument" Target="word/document.xml"/></Relationships>
</file>

<file path=word/document.xml><?xml version="1.0" encoding="utf-8"?>
<w:document xmlns:wp="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mc="http://schemas.openxmlformats.org/markup-compatibility/2006" xmlns:w14="http://schemas.microsoft.com/office/word/2010/wordml" mc:Ignorable="w14">
  <w:body>
    <w:p w14:paraId="00100000" w14:textId="00100001">
      <w:pPr>
        <w:pStyle w:val="Heading1"/>
        <w:spacing w:before="120" w:after="360" w:line="288" w:lineRule="auto"/>
        <w:jc w:val="center"/>
      </w:pPr>
      <w:r>
        <w:rPr>
          <w:rFonts w:ascii="Times New Roman" w:hAnsi="Times New Roman" w:eastAsia="Times New Roman"/>
          <w:b/>
          <w:color w:val="1F4E79"/>
          <w:sz w:val="36"/>
        </w:rPr>
        <w:t xml:space="preserve">Business Insight Report: Automated Customer Service and Review Sentiment Analysis System</w:t>
      </w:r>
    </w:p>
    <w:p w14:paraId="00100002" w14:textId="00100003">
      <w:pPr>
        <w:pStyle w:val="Heading2"/>
        <w:spacing w:before="240" w:after="120" w:line="288" w:lineRule="auto"/>
        <w:jc w:val="left"/>
      </w:pPr>
      <w:r>
        <w:rPr>
          <w:rFonts w:ascii="Times New Roman" w:hAnsi="Times New Roman" w:eastAsia="Times New Roman"/>
          <w:b/>
          <w:color w:val="2C3E50"/>
          <w:sz w:val="26"/>
        </w:rPr>
        <w:t xml:space="preserve">1. Venture Idea and Core Product Concept</w:t>
      </w:r>
    </w:p>
    <w:p w14:paraId="00100004" w14:textId="00100005">
      <w:pPr>
        <w:pStyle w:val="Normal"/>
        <w:spacing w:after="160" w:line="360" w:lineRule="auto"/>
        <w:ind w:firstLine="420"/>
        <w:jc w:val="both"/>
      </w:pPr>
      <w:r>
        <w:rPr>
          <w:rFonts w:ascii="Times New Roman" w:hAnsi="Times New Roman" w:eastAsia="Times New Roman"/>
          <w:color w:val="212121"/>
          <w:sz w:val="22"/>
        </w:rPr>
        <w:t xml:space="preserve">The venture is designed for small and medium-sized e-commerce sellers and local service businesses. It combines automated customer service, review sentiment analysis, and business insight generation into one workflow. The system uses RAG to retrieve merchant rules, FAQ content, and standard scripts before generating compliant customer-service replies, while also converting large volumes of reviews into structured operational insight.</w:t>
      </w:r>
    </w:p>
    <w:p w14:paraId="00100006" w14:textId="00100007">
      <w:pPr>
        <w:pStyle w:val="Heading2"/>
        <w:spacing w:before="240" w:after="120" w:line="288" w:lineRule="auto"/>
        <w:jc w:val="left"/>
      </w:pPr>
      <w:r>
        <w:rPr>
          <w:rFonts w:ascii="Times New Roman" w:hAnsi="Times New Roman" w:eastAsia="Times New Roman"/>
          <w:b/>
          <w:color w:val="2C3E50"/>
          <w:sz w:val="26"/>
        </w:rPr>
        <w:t xml:space="preserve">2. Target Market and Market Positioning</w:t>
      </w:r>
    </w:p>
    <w:p w14:paraId="00100008" w14:textId="00100009">
      <w:pPr>
        <w:pStyle w:val="Normal"/>
        <w:spacing w:after="160" w:line="360" w:lineRule="auto"/>
        <w:ind w:firstLine="420"/>
        <w:jc w:val="both"/>
      </w:pPr>
      <w:r>
        <w:rPr>
          <w:rFonts w:ascii="Times New Roman" w:hAnsi="Times New Roman" w:eastAsia="Times New Roman"/>
          <w:color w:val="212121"/>
          <w:sz w:val="22"/>
        </w:rPr>
        <w:t xml:space="preserve">The target market includes merchants with high review volume, frequent after-sales inquiries, and limited data-analysis capacity. The product is positioned not as a full replacement for human agents, but as an efficiency layer for customer service and a decision-support layer for review intelligence. Its differentiation comes from merchant-specific rule grounding, explainability, and closed-loop insight generation.</w:t>
      </w:r>
    </w:p>
    <w:p w14:paraId="0010000A" w14:textId="0010000B">
      <w:pPr>
        <w:pStyle w:val="Heading2"/>
        <w:spacing w:before="240" w:after="120" w:line="288" w:lineRule="auto"/>
        <w:jc w:val="left"/>
      </w:pPr>
      <w:r>
        <w:rPr>
          <w:rFonts w:ascii="Times New Roman" w:hAnsi="Times New Roman" w:eastAsia="Times New Roman"/>
          <w:b/>
          <w:color w:val="2C3E50"/>
          <w:sz w:val="26"/>
        </w:rPr>
        <w:t xml:space="preserve">3. Key Metrics</w:t>
      </w:r>
    </w:p>
    <w:p w14:paraId="0010000C" w14:textId="0010000D">
      <w:pPr>
        <w:pStyle w:val="Normal"/>
        <w:spacing w:after="160" w:line="360" w:lineRule="auto"/>
        <w:ind w:firstLine="420"/>
        <w:jc w:val="both"/>
      </w:pPr>
      <w:r>
        <w:rPr>
          <w:rFonts w:ascii="Times New Roman" w:hAnsi="Times New Roman" w:eastAsia="Times New Roman"/>
          <w:color w:val="212121"/>
          <w:sz w:val="22"/>
        </w:rPr>
        <w:t xml:space="preserve">The project currently includes 1000.0 raw reviews across 10.0 categories. On a gold test set of 200.0 labeled reviews, sentiment analysis achieved 92.5% overall accuracy with an average confidence score of 0.878. In the evaluation set, the system predicted 76.0 positive, 27.0 neutral, and 97.0 negative cases.</w:t>
      </w:r>
    </w:p>
    <w:p w14:paraId="0010000E" w14:textId="0010000F">
      <w:pPr>
        <w:pStyle w:val="Heading2"/>
        <w:spacing w:before="240" w:after="120" w:line="288" w:lineRule="auto"/>
        <w:jc w:val="left"/>
      </w:pPr>
      <w:r>
        <w:rPr>
          <w:rFonts w:ascii="Times New Roman" w:hAnsi="Times New Roman" w:eastAsia="Times New Roman"/>
          <w:b/>
          <w:color w:val="2C3E50"/>
          <w:sz w:val="26"/>
        </w:rPr>
        <w:t xml:space="preserve">4. Chart-Based Findings</w:t>
      </w:r>
    </w:p>
    <w:p w14:paraId="00100010" w14:textId="00100011">
      <w:pPr>
        <w:pStyle w:val="Normal"/>
        <w:spacing w:after="160" w:line="360" w:lineRule="auto"/>
        <w:ind w:firstLine="420"/>
        <w:jc w:val="both"/>
      </w:pPr>
      <w:r>
        <w:rPr>
          <w:rFonts w:ascii="Times New Roman" w:hAnsi="Times New Roman" w:eastAsia="Times New Roman"/>
          <w:color w:val="212121"/>
          <w:sz w:val="22"/>
        </w:rPr>
        <w:t xml:space="preserve">The raw review distribution is led by these categories: 平板 171, 酒店 166, 洗发水 160, 水果 156, 衣服 148. This indicates that the prototype has already been exercised across multiple product domains rather than a single vertical. Among negative reviews, the most frequent pain points are 质量差 18, 尺寸不符 6, 质量不符 2, 疑似假货 2, 客服态度差 2, with product quality issues standing out as the most urgent operational problem.</w:t>
      </w:r>
    </w:p>
    <w:p w14:paraId="00100012" w14:textId="00100013">
      <w:pPr>
        <w:pStyle w:val="Heading2"/>
        <w:spacing w:before="240" w:after="120" w:line="288" w:lineRule="auto"/>
        <w:jc w:val="left"/>
      </w:pPr>
      <w:r>
        <w:rPr>
          <w:rFonts w:ascii="Times New Roman" w:hAnsi="Times New Roman" w:eastAsia="Times New Roman"/>
          <w:b/>
          <w:color w:val="2C3E50"/>
          <w:sz w:val="26"/>
        </w:rPr>
        <w:t xml:space="preserve">5. Business and Growth Strategy</w:t>
      </w:r>
    </w:p>
    <w:p w14:paraId="00100014" w14:textId="00100015">
      <w:pPr>
        <w:pStyle w:val="Normal"/>
        <w:spacing w:after="160" w:line="360" w:lineRule="auto"/>
        <w:ind w:firstLine="420"/>
        <w:jc w:val="both"/>
      </w:pPr>
      <w:r>
        <w:rPr>
          <w:rFonts w:ascii="Times New Roman" w:hAnsi="Times New Roman" w:eastAsia="Times New Roman"/>
          <w:color w:val="212121"/>
          <w:sz w:val="22"/>
        </w:rPr>
        <w:t xml:space="preserve">The recommended business model is a SaaS subscription with usage tiers. A basic plan can provide review analysis and standard automated replies for small merchants, while advanced tiers can add higher concurrency, larger knowledge-base capacity, reporting, and private deployment. The most practical market-entry strategy is to start from high-pain scenarios such as negative-review monitoring and after-sales reply automation, then expand into monthly insight reporting and product improvement recommendations.</w:t>
      </w:r>
    </w:p>
    <w:p w14:paraId="00100016" w14:textId="00100017">
      <w:pPr>
        <w:pStyle w:val="Heading2"/>
        <w:spacing w:before="240" w:after="120" w:line="288" w:lineRule="auto"/>
        <w:jc w:val="left"/>
      </w:pPr>
      <w:r>
        <w:rPr>
          <w:rFonts w:ascii="Times New Roman" w:hAnsi="Times New Roman" w:eastAsia="Times New Roman"/>
          <w:b/>
          <w:color w:val="2C3E50"/>
          <w:sz w:val="26"/>
        </w:rPr>
        <w:t xml:space="preserve">6. Conclusion</w:t>
      </w:r>
    </w:p>
    <w:p w14:paraId="00100018" w14:textId="00100019">
      <w:pPr>
        <w:pStyle w:val="Normal"/>
        <w:spacing w:after="160" w:line="360" w:lineRule="auto"/>
        <w:ind w:firstLine="420"/>
        <w:jc w:val="both"/>
      </w:pPr>
      <w:r>
        <w:rPr>
          <w:rFonts w:ascii="Times New Roman" w:hAnsi="Times New Roman" w:eastAsia="Times New Roman"/>
          <w:color w:val="212121"/>
          <w:sz w:val="22"/>
        </w:rPr>
        <w:t xml:space="preserve">The current prototype already demonstrates strong commercial potential in reducing customer-service workload and turning unstructured review data into actionable business decisions. With more real merchant case studies and quantified ROI indicators such as labor hours saved, faster complaint response, and product-quality improvement, the venture can become significantly more convincing for investors, partners, and pilot customers.</w:t>
      </w:r>
    </w:p>
    <w:p w14:paraId="0010001A" w14:textId="0010001B">
      <w:pPr>
        <w:spacing w:before="40" w:after="80" w:line="276" w:lineRule="auto"/>
        <w:ind w:firstLine="0"/>
        <w:jc w:val="center"/>
        <w:shd w:val="clear" w:color="auto" w:fill="EEF4FB"/>
      </w:pPr>
      <w:r>
        <w:rPr>
          <w:rFonts w:ascii="Times New Roman" w:hAnsi="Times New Roman" w:eastAsia="Times New Roman"/>
          <w:b/>
          <w:color w:val="27496D"/>
          <w:sz w:val="22"/>
        </w:rPr>
        <w:t xml:space="preserve">Raw review sample size: 1000.0 | Covered categories: 10.0</w:t>
      </w:r>
    </w:p>
    <w:p w14:paraId="0010001C" w14:textId="0010001D">
      <w:pPr>
        <w:spacing w:before="40" w:after="80" w:line="276" w:lineRule="auto"/>
        <w:ind w:firstLine="0"/>
        <w:jc w:val="center"/>
        <w:shd w:val="clear" w:color="auto" w:fill="EEF4FB"/>
      </w:pPr>
      <w:r>
        <w:rPr>
          <w:rFonts w:ascii="Times New Roman" w:hAnsi="Times New Roman" w:eastAsia="Times New Roman"/>
          <w:b/>
          <w:color w:val="27496D"/>
          <w:sz w:val="22"/>
        </w:rPr>
        <w:t xml:space="preserve">Gold test set size: 200.0 | Overall sentiment accuracy: 92.5%</w:t>
      </w:r>
    </w:p>
    <w:p w14:paraId="0010001E" w14:textId="0010001F">
      <w:pPr>
        <w:spacing w:before="40" w:after="80" w:line="276" w:lineRule="auto"/>
        <w:ind w:firstLine="0"/>
        <w:jc w:val="center"/>
        <w:shd w:val="clear" w:color="auto" w:fill="EEF4FB"/>
      </w:pPr>
      <w:r>
        <w:rPr>
          <w:rFonts w:ascii="Times New Roman" w:hAnsi="Times New Roman" w:eastAsia="Times New Roman"/>
          <w:b/>
          <w:color w:val="27496D"/>
          <w:sz w:val="22"/>
        </w:rPr>
        <w:t xml:space="preserve">Average model confidence: 0.878</w:t>
      </w:r>
    </w:p>
    <w:p w14:paraId="00100020" w14:textId="00100021">
      <w:pPr>
        <w:pStyle w:val="Heading2"/>
        <w:spacing w:before="200" w:after="120" w:line="276" w:lineRule="auto"/>
        <w:jc w:val="center"/>
      </w:pPr>
      <w:r>
        <w:rPr>
          <w:rFonts w:ascii="Times New Roman" w:hAnsi="Times New Roman" w:eastAsia="Times New Roman"/>
          <w:b/>
          <w:color w:val="2C3E50"/>
          <w:sz w:val="22"/>
        </w:rPr>
        <w:t xml:space="preserve">Figure 1. Category Distribution</w:t>
      </w:r>
    </w:p>
    <w:p w14:paraId="00100022" w14:textId="00100023">
      <w:pPr>
        <w:spacing w:after="80" w:line="240" w:lineRule="auto"/>
        <w:jc w:val="center"/>
      </w:pPr>
      <w:r>
        <w:drawing>
          <wp:inline xmlns:wp="http://schemas.openxmlformats.org/drawingml/2006/wordprocessingDrawing" distT="0" distB="0" distL="0" distR="0">
            <wp:extent cx="5303520" cy="3200400"/>
            <wp:effectExtent l="0" t="0" r="0" b="0"/>
            <wp:docPr id="1" name="Category distribution" descr="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tegory distribution"/>
                    <pic:cNvPicPr/>
                  </pic:nvPicPr>
                  <pic:blipFill>
                    <a:blip xmlns:r="http://schemas.openxmlformats.org/officeDocument/2006/relationships" r:embed="Rcd35bc735fb1484c" cstate="print"/>
                    <a:stretch>
                      <a:fillRect/>
                    </a:stretch>
                  </pic:blipFill>
                  <pic:spPr>
                    <a:xfrm>
                      <a:off x="0" y="0"/>
                      <a:ext cx="5303520" cy="3200400"/>
                    </a:xfrm>
                    <a:prstGeom prst="rect">
                      <a:avLst/>
                    </a:prstGeom>
                  </pic:spPr>
                </pic:pic>
              </a:graphicData>
            </a:graphic>
          </wp:inline>
        </w:drawing>
      </w:r>
    </w:p>
    <w:p w14:paraId="00100024" w14:textId="00100025">
      <w:pPr>
        <w:spacing w:after="240" w:line="288" w:lineRule="auto"/>
        <w:ind w:firstLine="0"/>
        <w:jc w:val="center"/>
      </w:pPr>
      <w:r>
        <w:rPr>
          <w:rFonts w:ascii="Times New Roman" w:hAnsi="Times New Roman" w:eastAsia="Times New Roman"/>
          <w:color w:val="5A5A5A"/>
          <w:sz w:val="20"/>
        </w:rPr>
        <w:t xml:space="preserve">This chart shows that the project already covers ten categories and is not limited to a single niche.</w:t>
      </w:r>
    </w:p>
    <w:p w14:paraId="00100026" w14:textId="00100027">
      <w:pPr>
        <w:pStyle w:val="Heading2"/>
        <w:spacing w:before="200" w:after="120" w:line="276" w:lineRule="auto"/>
        <w:jc w:val="center"/>
      </w:pPr>
      <w:r>
        <w:rPr>
          <w:rFonts w:ascii="Times New Roman" w:hAnsi="Times New Roman" w:eastAsia="Times New Roman"/>
          <w:b/>
          <w:color w:val="2C3E50"/>
          <w:sz w:val="22"/>
        </w:rPr>
        <w:t xml:space="preserve">Figure 2. Sentiment Distribution</w:t>
      </w:r>
    </w:p>
    <w:p w14:paraId="00100028" w14:textId="00100029">
      <w:pPr>
        <w:spacing w:after="80" w:line="240" w:lineRule="auto"/>
        <w:jc w:val="center"/>
      </w:pPr>
      <w:r>
        <w:drawing>
          <wp:inline distT="0" distB="0" distL="0" distR="0">
            <wp:extent cx="5303520" cy="3200400"/>
            <wp:effectExtent l="0" t="0" r="0" b="0"/>
            <wp:docPr id="2" name="Sentiment distribution" descr="Sentiment distribution"/>
            <wp:cNvGraphicFramePr>
              <a:graphicFrameLocks noChangeAspect="1"/>
            </wp:cNvGraphicFramePr>
            <a:graphic>
              <a:graphicData uri="http://schemas.openxmlformats.org/drawingml/2006/picture">
                <pic:pic>
                  <pic:nvPicPr>
                    <pic:cNvPr id="2" name="Sentiment distribution"/>
                    <pic:cNvPicPr/>
                  </pic:nvPicPr>
                  <pic:blipFill>
                    <a:blip r:embed="R8140e549b60b4525" cstate="print"/>
                    <a:stretch>
                      <a:fillRect/>
                    </a:stretch>
                  </pic:blipFill>
                  <pic:spPr>
                    <a:xfrm>
                      <a:off x="0" y="0"/>
                      <a:ext cx="5303520" cy="3200400"/>
                    </a:xfrm>
                    <a:prstGeom prst="rect">
                      <a:avLst/>
                    </a:prstGeom>
                  </pic:spPr>
                </pic:pic>
              </a:graphicData>
            </a:graphic>
          </wp:inline>
        </w:drawing>
      </w:r>
    </w:p>
    <w:p w14:paraId="0010002A" w14:textId="0010002B">
      <w:pPr>
        <w:spacing w:after="240" w:line="288" w:lineRule="auto"/>
        <w:ind w:firstLine="0"/>
        <w:jc w:val="center"/>
      </w:pPr>
      <w:r>
        <w:rPr>
          <w:rFonts w:ascii="Times New Roman" w:hAnsi="Times New Roman" w:eastAsia="Times New Roman"/>
          <w:color w:val="5A5A5A"/>
          <w:sz w:val="20"/>
        </w:rPr>
        <w:t xml:space="preserve">The evaluation distribution confirms that the system is able to capture negative reviews at a useful level for operations.</w:t>
      </w:r>
    </w:p>
    <w:p w14:paraId="0010002C" w14:textId="0010002D">
      <w:pPr>
        <w:pStyle w:val="Heading2"/>
        <w:spacing w:before="200" w:after="120" w:line="276" w:lineRule="auto"/>
        <w:jc w:val="center"/>
      </w:pPr>
      <w:r>
        <w:rPr>
          <w:rFonts w:ascii="Times New Roman" w:hAnsi="Times New Roman" w:eastAsia="Times New Roman"/>
          <w:b/>
          <w:color w:val="2C3E50"/>
          <w:sz w:val="22"/>
        </w:rPr>
        <w:t xml:space="preserve">Figure 3. Top Pain Points</w:t>
      </w:r>
    </w:p>
    <w:p w14:paraId="0010002E" w14:textId="0010002F">
      <w:pPr>
        <w:spacing w:after="80" w:line="240" w:lineRule="auto"/>
        <w:jc w:val="center"/>
      </w:pPr>
      <w:r>
        <w:drawing>
          <wp:inline distT="0" distB="0" distL="0" distR="0">
            <wp:extent cx="5303520" cy="3200400"/>
            <wp:effectExtent l="0" t="0" r="0" b="0"/>
            <wp:docPr id="3" name="Top pain points" descr="Top pain points"/>
            <wp:cNvGraphicFramePr>
              <a:graphicFrameLocks noChangeAspect="1"/>
            </wp:cNvGraphicFramePr>
            <a:graphic>
              <a:graphicData uri="http://schemas.openxmlformats.org/drawingml/2006/picture">
                <pic:pic>
                  <pic:nvPicPr>
                    <pic:cNvPr id="3" name="Top pain points"/>
                    <pic:cNvPicPr/>
                  </pic:nvPicPr>
                  <pic:blipFill>
                    <a:blip r:embed="R2d57cbd587484549" cstate="print"/>
                    <a:stretch>
                      <a:fillRect/>
                    </a:stretch>
                  </pic:blipFill>
                  <pic:spPr>
                    <a:xfrm>
                      <a:off x="0" y="0"/>
                      <a:ext cx="5303520" cy="3200400"/>
                    </a:xfrm>
                    <a:prstGeom prst="rect">
                      <a:avLst/>
                    </a:prstGeom>
                  </pic:spPr>
                </pic:pic>
              </a:graphicData>
            </a:graphic>
          </wp:inline>
        </w:drawing>
      </w:r>
    </w:p>
    <w:p w14:paraId="00100030" w14:textId="00100031">
      <w:pPr>
        <w:spacing w:after="240" w:line="288" w:lineRule="auto"/>
        <w:ind w:firstLine="0"/>
        <w:jc w:val="center"/>
      </w:pPr>
      <w:r>
        <w:rPr>
          <w:rFonts w:ascii="Times New Roman" w:hAnsi="Times New Roman" w:eastAsia="Times New Roman"/>
          <w:color w:val="5A5A5A"/>
          <w:sz w:val="20"/>
        </w:rPr>
        <w:t xml:space="preserve">The concentration of quality-related complaints suggests that product quality should be treated as the first operational priority.</w:t>
      </w:r>
    </w:p>
    <w:sectPr>
      <w:pgSz w:w="11906" w:h="16838"/>
      <w:pgMar w:top="1440" w:right="1474" w:bottom="1440" w:left="1474"/>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pPrDefault>
      <w:pPr>
        <w:kinsoku w:val="false"/>
        <w:overflowPunct w:val="false"/>
        <w:autoSpaceDE w:val="false"/>
        <w:autoSpaceDN w:val="false"/>
      </w:pPr>
    </w:pPrDefault>
  </w:docDefaults>
</w:styles>
</file>

<file path=word/_rels/document.xml.rels><?xml version='1.0' encoding='UTF-8' standalone='yes'?>
<Relationships xmlns="http://schemas.openxmlformats.org/package/2006/relationships"><Relationship Id="Ra71fbb116ebf4a79" Type="http://schemas.openxmlformats.org/officeDocument/2006/relationships/settings" Target="settings.xml"/><Relationship Id="Rf1b85921f88c43fe" Type="http://schemas.openxmlformats.org/officeDocument/2006/relationships/styles" Target="styles.xml"/><Relationship Id="R7237ff5cc3c44fdd" Type="http://schemas.openxmlformats.org/officeDocument/2006/relationships/numbering" Target="numbering.xml"/><Relationship Id="Rcd35bc735fb1484c" Type="http://schemas.openxmlformats.org/officeDocument/2006/relationships/image" Target="../media/image.svg"/><Relationship Id="R8140e549b60b4525" Type="http://schemas.openxmlformats.org/officeDocument/2006/relationships/image" Target="../media/image2.svg"/><Relationship Id="R2d57cbd587484549" Type="http://schemas.openxmlformats.org/officeDocument/2006/relationships/image" Target="../media/image3.svg"/></Relationships>
</file>