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78"/>
        <w:tblW w:w="10545" w:type="dxa"/>
        <w:tblBorders/>
        <w:tblLook w:val="04A0" w:firstRow="1" w:lastRow="0" w:firstColumn="1" w:lastColumn="0" w:noHBand="0" w:noVBand="1"/>
      </w:tblPr>
      <w:tblGrid>
        <w:gridCol w:w="3735"/>
        <w:gridCol w:w="1537"/>
        <w:gridCol w:w="83"/>
        <w:gridCol w:w="1528"/>
        <w:gridCol w:w="425"/>
        <w:gridCol w:w="2126"/>
        <w:gridCol w:w="555"/>
        <w:gridCol w:w="556"/>
      </w:tblGrid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Объект капитального строительства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system</w:t>
            </w:r>
            <w:r>
              <w:rPr>
                <w:rFonts w:cstheme="minorHAnsi"/>
                <w:i/>
                <w:sz w:val="20"/>
                <w:szCs w:val="20"/>
              </w:rPr>
              <w:t xml:space="preserve">_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ddress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почтовый или строительный адрес объекта капитального строительства)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Застройщик  (</w:t>
            </w:r>
            <w:r>
              <w:rPr>
                <w:rFonts w:cstheme="minorHAnsi"/>
                <w:b/>
                <w:sz w:val="20"/>
                <w:szCs w:val="20"/>
              </w:rPr>
              <w:t xml:space="preserve">технический заказчик, эксплуатирующая организация или  региональный оператор)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Некоммерческая организация «Фонд – региональный оператор капитального ремонта общего имущества в</w:t>
            </w:r>
            <w:r>
              <w:rPr>
                <w:rFonts w:cstheme="minorHAnsi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многоквартирных</w:t>
            </w:r>
            <w:r>
              <w:rPr>
                <w:rFonts w:cstheme="minorHAnsi"/>
                <w:i/>
                <w:sz w:val="20"/>
                <w:szCs w:val="20"/>
              </w:rPr>
              <w:t xml:space="preserve"> домах</w:t>
            </w:r>
            <w:r>
              <w:rPr>
                <w:rFonts w:cstheme="minorHAnsi"/>
                <w:i/>
                <w:sz w:val="20"/>
                <w:szCs w:val="20"/>
              </w:rPr>
              <w:t xml:space="preserve">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 xml:space="preserve">,</w:t>
            </w:r>
            <w:r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 xml:space="preserve">ИНН 7840290890, 191023, Санкт-Петербург, пл. Островского, д. 11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</w:t>
            </w:r>
            <w:r>
              <w:rPr>
                <w:rFonts w:cstheme="minorHAnsi"/>
                <w:sz w:val="20"/>
                <w:szCs w:val="20"/>
              </w:rPr>
              <w:t xml:space="preserve">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строительство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 contractor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contractor_requisite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подготовку проектной документации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designer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r>
              <w:rPr>
                <w:rFonts w:cstheme="minorHAnsi"/>
                <w:sz w:val="20"/>
                <w:szCs w:val="20"/>
              </w:rPr>
              <w:t xml:space="preserve">ИНН,  место</w:t>
            </w:r>
            <w:r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АКТ</w:t>
            </w:r>
            <w:r>
              <w:rPr>
                <w:rFonts w:cstheme="minorHAnsi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о проведении промывки и дезинфекции трубопроводов (сооружений)</w:t>
            </w:r>
            <w:r>
              <w:rPr>
                <w:rFonts w:cstheme="minorHAnsi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хозяйственно-питьевого водоснабжения</w:t>
            </w:r>
            <w:r>
              <w:rPr>
                <w:rFonts w:cstheme="minorHAnsi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N </w:t>
            </w:r>
            <w:r>
              <w:rPr>
                <w:b/>
                <w:sz w:val="20"/>
                <w:szCs w:val="20"/>
              </w:rPr>
              <w:t xml:space="preserve">{{ acts_prefix }}-</w:t>
            </w:r>
            <w:r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w_d_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act_number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w_d_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act_date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застройщика или заказчика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r>
              <w:rPr>
                <w:rFonts w:cstheme="minorHAnsi"/>
                <w:sz w:val="20"/>
                <w:szCs w:val="20"/>
              </w:rPr>
              <w:t xml:space="preserve">инициалы,реквизиты</w:t>
            </w:r>
            <w:r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/>
            <w:bookmarkStart w:id="0" w:name="__DdeLink__542_1920946318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  <w:r/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инициалы, реквизиты расп</w:t>
            </w:r>
            <w:r>
              <w:rPr>
                <w:rFonts w:cstheme="minorHAnsi"/>
                <w:sz w:val="20"/>
                <w:szCs w:val="20"/>
              </w:rPr>
              <w:t xml:space="preserve">орядительного </w:t>
            </w:r>
            <w:r>
              <w:rPr>
                <w:rFonts w:cstheme="minorHAnsi"/>
                <w:sz w:val="20"/>
                <w:szCs w:val="20"/>
              </w:rPr>
              <w:t xml:space="preserve">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монтажной (строительной) организации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</w:t>
            </w:r>
            <w:r>
              <w:rPr>
                <w:rFonts w:cstheme="minorHAnsi"/>
                <w:sz w:val="20"/>
                <w:szCs w:val="20"/>
              </w:rPr>
              <w:t xml:space="preserve">ы, реквизиты распорядительного </w:t>
            </w:r>
            <w:r>
              <w:rPr>
                <w:rFonts w:cstheme="minorHAnsi"/>
                <w:sz w:val="20"/>
                <w:szCs w:val="20"/>
              </w:rPr>
              <w:t xml:space="preserve">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строительный контроль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contractor_supervisor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contractor_supervisor_decre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</w:t>
            </w:r>
            <w:r>
              <w:rPr>
                <w:rFonts w:cstheme="minorHAnsi"/>
                <w:sz w:val="20"/>
                <w:szCs w:val="20"/>
              </w:rPr>
              <w:t xml:space="preserve">лы, реквизиты распорядительного</w:t>
            </w:r>
            <w:r>
              <w:rPr>
                <w:rFonts w:cstheme="minorHAnsi"/>
                <w:sz w:val="20"/>
                <w:szCs w:val="20"/>
              </w:rPr>
              <w:t xml:space="preserve"> документа, подтверждающего полномочия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составили настоящий акт о том, что трубопровод, </w:t>
            </w:r>
            <w:r>
              <w:rPr>
                <w:rFonts w:cstheme="minorHAnsi"/>
                <w:b/>
                <w:strike/>
                <w:sz w:val="20"/>
                <w:szCs w:val="20"/>
              </w:rPr>
              <w:t xml:space="preserve">сооружени</w:t>
            </w:r>
            <w:r>
              <w:rPr>
                <w:rFonts w:cstheme="minorHAnsi"/>
                <w:b/>
                <w:sz w:val="20"/>
                <w:szCs w:val="20"/>
              </w:rPr>
              <w:t xml:space="preserve">е (ненужное зачеркнуть)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{{ a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ddress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 объекта, длина, диаметр, объем)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tcBorders/>
            <w:tcW w:w="53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подвергнут промывке и дезинфекции хлорированием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5"/>
            <w:tcBorders>
              <w:bottom w:val="single" w:color="auto" w:sz="4" w:space="0"/>
            </w:tcBorders>
            <w:tcW w:w="51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гипохлорид</w:t>
            </w:r>
            <w:r>
              <w:rPr>
                <w:rFonts w:cstheme="minorHAnsi"/>
                <w:b/>
                <w:sz w:val="20"/>
                <w:szCs w:val="20"/>
              </w:rPr>
              <w:t xml:space="preserve"> натрия марки А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tcBorders/>
            <w:tcW w:w="53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5"/>
            <w:tcBorders/>
            <w:tcW w:w="51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(указать каким реагентом)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73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 концентрации активного хлора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153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75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</w:r>
          </w:p>
        </w:tc>
        <w:tc>
          <w:tcPr>
            <w:gridSpan w:val="4"/>
            <w:tcBorders/>
            <w:tcW w:w="416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мг/л (г/м3) и продолжительности контакта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5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5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ч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4"/>
            <w:tcBorders/>
            <w:tcW w:w="6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Результаты физико-химического и бактериологического анализов воды на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4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323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листах прилагаются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застройщика или заказчика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монтажной (строительной) организации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Лицо, осуществляющее строительный контроль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contractor_supervisor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bookmarkStart w:id="1" w:name="_GoBack"/>
            <w:r/>
            <w:bookmarkEnd w:id="1"/>
            <w:r/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Заключение СЭС: Трубопровод, сооружение (ненужное зачеркнуть) считать продезинфицированным и промытым и раз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решить пуск его в эксплуатацию.</w:t>
            </w:r>
            <w:r>
              <w:rPr>
                <w:rFonts w:cstheme="minorHAnsi"/>
                <w:b/>
                <w:i/>
                <w:sz w:val="20"/>
                <w:szCs w:val="20"/>
              </w:rPr>
            </w:r>
          </w:p>
        </w:tc>
      </w:tr>
      <w:tr>
        <w:trPr>
          <w:trHeight w:val="227" w:hRule="exact"/>
        </w:trPr>
        <w:tc>
          <w:tcPr>
            <w:gridSpan w:val="2"/>
            <w:tcBorders/>
            <w:tcW w:w="527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6"/>
            <w:tcBorders/>
            <w:tcW w:w="5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№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w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_d_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disinfection_protocol_1 }}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>
          <w:trHeight w:val="336"/>
        </w:trPr>
        <w:tc>
          <w:tcPr>
            <w:gridSpan w:val="2"/>
            <w:tcBorders/>
            <w:tcW w:w="527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6"/>
            <w:tcBorders/>
            <w:tcW w:w="5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№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w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_d_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disinfection_protocol_2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>
        <w:br w:type="page" w:clear="all"/>
      </w:r>
      <w:r/>
    </w:p>
    <w:p>
      <w:pPr>
        <w:pBdr/>
        <w:spacing w:after="0" w:line="240" w:lineRule="auto"/>
        <w:ind/>
        <w:rPr/>
      </w:pPr>
      <w:r/>
      <w:r/>
    </w:p>
    <w:sectPr>
      <w:footnotePr/>
      <w:endnotePr/>
      <w:type w:val="nextPage"/>
      <w:pgSz w:h="16838" w:orient="portrait" w:w="11906"/>
      <w:pgMar w:top="329" w:right="425" w:bottom="568" w:left="709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Microsoft YaHei">
    <w:panose1 w:val="020B0503030403020204"/>
  </w:font>
  <w:font w:name="Liberation Sans">
    <w:panose1 w:val="020B0604020202020204"/>
  </w:font>
  <w:font w:name="Mangal">
    <w:panose1 w:val="020405030504060302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1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 w:after="200" w:line="276" w:lineRule="auto"/>
      <w:ind/>
    </w:pPr>
    <w:rPr>
      <w:sz w:val="22"/>
    </w:rPr>
  </w:style>
  <w:style w:type="paragraph" w:styleId="663">
    <w:name w:val="Heading 1"/>
    <w:basedOn w:val="668"/>
    <w:next w:val="669"/>
    <w:qFormat/>
    <w:pPr>
      <w:numPr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Маркеры списка"/>
    <w:qFormat/>
    <w:pPr>
      <w:pBdr/>
      <w:spacing/>
      <w:ind/>
    </w:pPr>
    <w:rPr>
      <w:rFonts w:ascii="OpenSymbol" w:hAnsi="OpenSymbol" w:eastAsia="OpenSymbol" w:cs="OpenSymbol"/>
    </w:rPr>
  </w:style>
  <w:style w:type="paragraph" w:styleId="668" w:customStyle="1">
    <w:name w:val="Заголовок"/>
    <w:basedOn w:val="662"/>
    <w:next w:val="66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69">
    <w:name w:val="Body Text"/>
    <w:basedOn w:val="662"/>
    <w:pPr>
      <w:pBdr/>
      <w:spacing w:after="140"/>
      <w:ind/>
    </w:pPr>
  </w:style>
  <w:style w:type="paragraph" w:styleId="670">
    <w:name w:val="List"/>
    <w:basedOn w:val="669"/>
    <w:pPr>
      <w:pBdr/>
      <w:spacing/>
      <w:ind/>
    </w:pPr>
    <w:rPr>
      <w:rFonts w:cs="Mangal"/>
    </w:rPr>
  </w:style>
  <w:style w:type="paragraph" w:styleId="671">
    <w:name w:val="Caption"/>
    <w:basedOn w:val="662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72">
    <w:name w:val="index heading"/>
    <w:basedOn w:val="662"/>
    <w:qFormat/>
    <w:pPr>
      <w:suppressLineNumbers w:val="true"/>
      <w:pBdr/>
      <w:spacing/>
      <w:ind/>
    </w:pPr>
    <w:rPr>
      <w:rFonts w:cs="Mangal"/>
    </w:rPr>
  </w:style>
  <w:style w:type="paragraph" w:styleId="673" w:customStyle="1">
    <w:name w:val="Заголовок1"/>
    <w:basedOn w:val="662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74" w:customStyle="1">
    <w:name w:val="Текст в заданном формате"/>
    <w:basedOn w:val="662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675" w:customStyle="1">
    <w:name w:val="Содержимое таблицы"/>
    <w:basedOn w:val="662"/>
    <w:qFormat/>
    <w:pPr>
      <w:suppressLineNumbers w:val="true"/>
      <w:pBdr/>
      <w:spacing/>
      <w:ind/>
    </w:pPr>
  </w:style>
  <w:style w:type="paragraph" w:styleId="676" w:customStyle="1">
    <w:name w:val="Заголовок таблицы"/>
    <w:basedOn w:val="675"/>
    <w:qFormat/>
    <w:pPr>
      <w:pBdr/>
      <w:spacing/>
      <w:ind/>
      <w:jc w:val="center"/>
    </w:pPr>
    <w:rPr>
      <w:b/>
      <w:bCs/>
    </w:rPr>
  </w:style>
  <w:style w:type="table" w:styleId="677">
    <w:name w:val="Table Grid"/>
    <w:basedOn w:val="665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Light"/>
    <w:basedOn w:val="665"/>
    <w:uiPriority w:val="40"/>
    <w:pPr>
      <w:pBdr/>
      <w:spacing/>
      <w:ind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0138F-F801-47C6-9201-DA08A36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dc:language>ru-RU</dc:language>
  <cp:revision>9</cp:revision>
  <dcterms:created xsi:type="dcterms:W3CDTF">2022-07-11T19:55:00Z</dcterms:created>
  <dcterms:modified xsi:type="dcterms:W3CDTF">2024-12-17T19:42:06Z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