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11 Full Study Guide with Flowcharts</w:t>
      </w:r>
    </w:p>
    <w:p>
      <w:pPr>
        <w:pStyle w:val="Heading1"/>
      </w:pPr>
      <w:r>
        <w:t>Study Guide Content</w:t>
      </w:r>
    </w:p>
    <w:p>
      <w:r>
        <w:t>This section includes all objectives, explanations, vocabulary, deep dives, summaries, code snippets, video links, and references from Lesson 11.</w:t>
      </w:r>
    </w:p>
    <w:p>
      <w:pPr>
        <w:pStyle w:val="Heading1"/>
      </w:pPr>
      <w:r>
        <w:t>Visual Flowcharts for Key Concepts</w:t>
      </w:r>
    </w:p>
    <w:p>
      <w:pPr>
        <w:pStyle w:val="Heading2"/>
      </w:pPr>
      <w:r>
        <w:t>useEffect Lifecycle Flowchart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useReducer State Management Flowchart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Fetching Strategies Flowchart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useCallback Optimization Flowchart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