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소비전력</w:t>
        <w:tab/>
        <w:t>50W 이하</w:t>
      </w:r>
    </w:p>
    <w:tbl>
      <w:tblPr/>
      <w:tblGrid>
        <w:gridCol w:w="3000"/>
        <w:gridCol w:w="3000"/>
      </w:tblGrid>
      <w:tr>
        <w:tc>
          <w:p>
            <w:r>
              <w:t>항목</w:t>
            </w:r>
          </w:p>
        </w:tc>
        <w:tc>
          <w:p>
            <w:r>
              <w:t>광효율</w:t>
              <w:tab/>
              <w:t>130 lm/W 이상</w:t>
            </w:r>
          </w:p>
        </w:tc>
      </w:tr>
    </w:tbl>
    <w:sectPr/>
  </w:body>
</w:document>
</file>

<file path=word/_rels/document.xml.rels><Relationships xmlns="http://schemas.openxmlformats.org/package/2006/relationships"></Relationships>
</file>