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0000ee"/>
            <w:u w:val="single"/>
            <w:rtl w:val="0"/>
          </w:rPr>
          <w:t xml:space="preserve">Daniel Felipe</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sz w:val="24"/>
          <w:szCs w:val="24"/>
        </w:rPr>
      </w:pPr>
      <w:r w:rsidDel="00000000" w:rsidR="00000000" w:rsidRPr="00000000">
        <w:rPr>
          <w:sz w:val="24"/>
          <w:szCs w:val="24"/>
          <w:rtl w:val="0"/>
        </w:rPr>
        <w:t xml:space="preserve">AlphaFold Group Report</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1. Biological problem the authors are trying to solve</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The paper focuses on one of the central challenges in molecular biology, which is the long-time protein structure prediction problem: how to computationally predict accurate 3D protein structures from just sequence data. The importance of predicting a protein’s 3D shape with high accuracy is that it would allow us to determine its biological function. Determining structures through experimental methods like X-ray crystallography and NMR spectroscopy can achieve this but these methods are slow and expensive, and not feasible at the scale of entire proteomes. Therefore, the central biological challenge is to reliably infer how a linear chain of amino acids folds into a precise 3D shape governed by physical interactions and evolutionary constraints. The AlphaFold system introduced in this paper uses a novel deep learning architecture that incorporates evolutionary, physical, and geometric information to predict protein structures with atomic accuracy. </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3. The most important references the paper relies on</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The AlphaFold paper builds heavily on prior work in three main areas: evolutionary biology, structural bioinformatics, and deep learning techniques in structural biology. Foundational concepts include the use of multiple sequence alignments (MSAs) to extract evolutionary couplings between residues, drawing on earlier methods such as Direct Coupling Analysis (DCA) that showed correlated mutations encode structural proximity. It also relies on decades of protein structure databases, particularly the Protein Data Bank (PDB), which provides the experimental structures used for training and evaluation. From the machine-learning side, the work is deeply influenced by mechanisms and architecture originally developed for natural language processing. Finally, the CASP (Critical Assessment of Structure Prediction) experiments are a key reference framework, providing standardized benchmarks that shaped both the evaluation methodology and the historical context in which AlphaFold’s advance is measured.</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df2440@ny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