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6374D"/>
          <w:sz w:val="44"/>
          <w:szCs w:val="44"/>
        </w:rPr>
        <w:t xml:space="preserve">PE Fund Monitor</w:t>
      </w:r>
    </w:p>
    <w:p>
      <w:pPr>
        <w:pBdr>
          <w:bottom w:val="single" w:color="B8912F" w:sz="10" w:space="6"/>
        </w:pBdr>
        <w:spacing w:after="260"/>
      </w:pPr>
      <w:r>
        <w:rPr>
          <w:rFonts w:ascii="Calibri" w:cs="Calibri" w:eastAsia="Calibri" w:hAnsi="Calibri"/>
          <w:color w:val="6B7788"/>
          <w:sz w:val="22"/>
          <w:szCs w:val="22"/>
        </w:rPr>
        <w:t xml:space="preserve">System Documentation &amp; Design Rationale — Ejercicio 2, Monitoreo de Fondos</w:t>
      </w:r>
    </w:p>
    <w:p>
      <w:pPr>
        <w:spacing w:after="40"/>
      </w:pPr>
      <w:r>
        <w:rPr>
          <w:rFonts w:ascii="Calibri" w:cs="Calibri" w:eastAsia="Calibri" w:hAnsi="Calibri"/>
          <w:b/>
          <w:bCs/>
          <w:color w:val="26374D"/>
          <w:sz w:val="20"/>
          <w:szCs w:val="20"/>
        </w:rPr>
        <w:t xml:space="preserve">Prepared by: </w:t>
      </w:r>
      <w:r>
        <w:rPr>
          <w:rFonts w:ascii="Calibri" w:cs="Calibri" w:eastAsia="Calibri" w:hAnsi="Calibri"/>
          <w:sz w:val="20"/>
          <w:szCs w:val="20"/>
        </w:rPr>
        <w:t xml:space="preserve">Daniela Fábrega</w:t>
      </w:r>
    </w:p>
    <w:p>
      <w:pPr>
        <w:spacing w:after="40"/>
      </w:pPr>
      <w:r>
        <w:rPr>
          <w:rFonts w:ascii="Calibri" w:cs="Calibri" w:eastAsia="Calibri" w:hAnsi="Calibri"/>
          <w:b/>
          <w:bCs/>
          <w:color w:val="26374D"/>
          <w:sz w:val="20"/>
          <w:szCs w:val="20"/>
        </w:rPr>
        <w:t xml:space="preserve">Prepared for: </w:t>
      </w:r>
      <w:r>
        <w:rPr>
          <w:rFonts w:ascii="Calibri" w:cs="Calibri" w:eastAsia="Calibri" w:hAnsi="Calibri"/>
          <w:sz w:val="20"/>
          <w:szCs w:val="20"/>
        </w:rPr>
        <w:t xml:space="preserve">Noé</w:t>
      </w:r>
    </w:p>
    <w:p>
      <w:pPr>
        <w:spacing w:after="320"/>
      </w:pPr>
      <w:r>
        <w:rPr>
          <w:rFonts w:ascii="Calibri" w:cs="Calibri" w:eastAsia="Calibri" w:hAnsi="Calibri"/>
          <w:b/>
          <w:bCs/>
          <w:color w:val="26374D"/>
          <w:sz w:val="20"/>
          <w:szCs w:val="20"/>
        </w:rPr>
        <w:t xml:space="preserve">Live system: </w:t>
      </w:r>
      <w:r>
        <w:rPr>
          <w:rFonts w:ascii="Calibri" w:cs="Calibri" w:eastAsia="Calibri" w:hAnsi="Calibri"/>
          <w:sz w:val="20"/>
          <w:szCs w:val="20"/>
        </w:rPr>
        <w:t xml:space="preserve">pe-fund-monitor.vercel.app</w:t>
      </w:r>
      <w:r>
        <w:rPr>
          <w:rFonts w:ascii="Calibri" w:cs="Calibri" w:eastAsia="Calibri" w:hAnsi="Calibri"/>
          <w:i/>
          <w:iCs/>
          <w:color w:val="6B7788"/>
          <w:sz w:val="20"/>
          <w:szCs w:val="20"/>
        </w:rPr>
        <w:t xml:space="preserve">  (access credentials provided separately)</w:t>
      </w:r>
    </w:p>
    <w:p>
      <w:pPr>
        <w:spacing w:after="200" w:line="300"/>
      </w:pPr>
      <w:r>
        <w:rPr>
          <w:rFonts w:ascii="Calibri" w:cs="Calibri" w:eastAsia="Calibri" w:hAnsi="Calibri"/>
          <w:i/>
          <w:iCs/>
          <w:color w:val="6B7788"/>
          <w:sz w:val="22"/>
          <w:szCs w:val="22"/>
        </w:rPr>
        <w:t xml:space="preserve">Note on data: the live system is populated with synthetic data — two fictional funds, “Meridian Capital Partners VII, LP” and “Ironwood Credit Partners IV, LP,” with invented GPs, portfolio companies, and figures. This allows the full pipeline to be demonstrated prior to execution of an NDA. The architecture is data-agnostic: once real quarterly reports are received under NDA, the same pipeline processes them without modification, subject to the confidentiality controls described in Section 7.</w:t>
      </w:r>
    </w:p>
    <w:p>
      <w:pPr>
        <w:pStyle w:val="Heading1"/>
        <w:pBdr>
          <w:bottom w:val="single" w:color="B8912F" w:sz="6" w:space="4"/>
        </w:pBdr>
        <w:spacing w:after="160" w:before="360"/>
      </w:pPr>
      <w:r>
        <w:rPr>
          <w:rFonts w:ascii="Calibri" w:cs="Calibri" w:eastAsia="Calibri" w:hAnsi="Calibri"/>
          <w:b/>
          <w:bCs/>
          <w:color w:val="26374D"/>
          <w:sz w:val="28"/>
          <w:szCs w:val="28"/>
        </w:rPr>
        <w:t xml:space="preserve">1. Overview</w:t>
      </w:r>
    </w:p>
    <w:p>
      <w:pPr>
        <w:spacing w:after="180" w:line="300"/>
      </w:pPr>
      <w:r>
        <w:rPr>
          <w:rFonts w:ascii="Calibri" w:cs="Calibri" w:eastAsia="Calibri" w:hAnsi="Calibri"/>
          <w:sz w:val="22"/>
          <w:szCs w:val="22"/>
        </w:rPr>
        <w:t xml:space="preserve">This system ingests quarterly private-markets fund reports, extracts and structures the underlying data, validates it against prior-quarter history, and presents it through a two-tier dashboard designed for both firm-wide portfolio review and single-fund analysis.</w:t>
      </w:r>
    </w:p>
    <w:p>
      <w:pPr>
        <w:spacing w:after="180" w:line="300"/>
      </w:pPr>
      <w:r>
        <w:rPr>
          <w:rFonts w:ascii="Calibri" w:cs="Calibri" w:eastAsia="Calibri" w:hAnsi="Calibri"/>
          <w:sz w:val="22"/>
          <w:szCs w:val="22"/>
        </w:rPr>
        <w:t xml:space="preserve">The core design objective is understanding, not transcription. A system that only converts a PDF into a table answers “what does the report say.” This system is built to answer “what changed, why, and does it matter” — which requires quarter-over-quarter comparison, context-aware validation, and a dashboard structured around the questions a CIO actually asks. It is also designed to scale conceptually to a 40+ fund portfolio; Section 6 specifies which components already scale without modification and which require additional infrastructure.</w:t>
      </w:r>
    </w:p>
    <w:p>
      <w:pPr>
        <w:pStyle w:val="Heading1"/>
        <w:pBdr>
          <w:bottom w:val="single" w:color="B8912F" w:sz="6" w:space="4"/>
        </w:pBdr>
        <w:spacing w:after="160" w:before="360"/>
      </w:pPr>
      <w:r>
        <w:rPr>
          <w:rFonts w:ascii="Calibri" w:cs="Calibri" w:eastAsia="Calibri" w:hAnsi="Calibri"/>
          <w:b/>
          <w:bCs/>
          <w:color w:val="26374D"/>
          <w:sz w:val="28"/>
          <w:szCs w:val="28"/>
        </w:rPr>
        <w:t xml:space="preserve">2. Data Pipeline</w:t>
      </w:r>
    </w:p>
    <w:p>
      <w:pPr>
        <w:spacing w:after="180" w:line="300"/>
      </w:pPr>
      <w:r>
        <w:rPr>
          <w:rFonts w:ascii="Calibri" w:cs="Calibri" w:eastAsia="Calibri" w:hAnsi="Calibri"/>
          <w:sz w:val="22"/>
          <w:szCs w:val="22"/>
        </w:rPr>
        <w:t xml:space="preserve">Each quarterly reporting cycle moves through five stages:</w:t>
      </w:r>
    </w:p>
    <w:p>
      <w:pPr>
        <w:pStyle w:val="ListParagraph"/>
        <w:numPr>
          <w:ilvl w:val="0"/>
          <w:numId w:val="2"/>
        </w:numPr>
        <w:spacing w:after="140" w:line="300"/>
      </w:pPr>
      <w:r>
        <w:rPr>
          <w:rFonts w:ascii="Calibri" w:cs="Calibri" w:eastAsia="Calibri" w:hAnsi="Calibri"/>
          <w:b/>
          <w:bCs/>
          <w:color w:val="26374D"/>
          <w:sz w:val="22"/>
          <w:szCs w:val="22"/>
        </w:rPr>
        <w:t xml:space="preserve">Capture. </w:t>
      </w:r>
      <w:r>
        <w:rPr>
          <w:rFonts w:ascii="Calibri" w:cs="Calibri" w:eastAsia="Calibri" w:hAnsi="Calibri"/>
          <w:sz w:val="22"/>
          <w:szCs w:val="22"/>
        </w:rPr>
        <w:t xml:space="preserve">A fund's quarterly reporting package — typically a valuation letter, an LP letter, and sometimes separate tear-sheet documents per company — is uploaded as a batch, tagged to a specific fund and quarter. An automated document-classification step was built and evaluated, but removed from the primary flow: at single-operator upload volume it added a review/correction burden without reducing effort, since the person uploading already knows what each file is. It remains in the codebase, unused, for a future bulk-ingestion scenario this exercise doesn't require.</w:t>
      </w:r>
    </w:p>
    <w:p>
      <w:pPr>
        <w:pStyle w:val="ListParagraph"/>
        <w:numPr>
          <w:ilvl w:val="0"/>
          <w:numId w:val="2"/>
        </w:numPr>
        <w:spacing w:after="140" w:line="300"/>
      </w:pPr>
      <w:r>
        <w:rPr>
          <w:rFonts w:ascii="Calibri" w:cs="Calibri" w:eastAsia="Calibri" w:hAnsi="Calibri"/>
          <w:b/>
          <w:bCs/>
          <w:color w:val="26374D"/>
          <w:sz w:val="22"/>
          <w:szCs w:val="22"/>
        </w:rPr>
        <w:t xml:space="preserve">Extraction. </w:t>
      </w:r>
      <w:r>
        <w:rPr>
          <w:rFonts w:ascii="Calibri" w:cs="Calibri" w:eastAsia="Calibri" w:hAnsi="Calibri"/>
          <w:sz w:val="22"/>
          <w:szCs w:val="22"/>
        </w:rPr>
        <w:t xml:space="preserve">A local vision-language model reads each document as rendered page images (real GP reporting formats — dense tables, non-standard fonts, infographic layouts — don't reliably support a text-layer scrape) and produces two separate outputs per document: financial data (NAV, called/distributed capital, DPI/RVPI/TVPI, IRR, for every gross/net/vehicle combination a fund reports, plus company-level valuation, MOIC, IRR, and committed vs. drawn capital) and GP commentary (notable changes, risk/macro language, realization signals). These run as two separate model calls rather than one — a single combined call caused truncation on longer documents given a locally-hosted model's context limits. Each field the model treats as inferred rather than directly read is tagged accordingly, feeding the confidence-based review process described in Section 6.</w:t>
      </w:r>
    </w:p>
    <w:p>
      <w:pPr>
        <w:pStyle w:val="ListParagraph"/>
        <w:numPr>
          <w:ilvl w:val="0"/>
          <w:numId w:val="2"/>
        </w:numPr>
        <w:spacing w:after="140" w:line="300"/>
      </w:pPr>
      <w:r>
        <w:rPr>
          <w:rFonts w:ascii="Calibri" w:cs="Calibri" w:eastAsia="Calibri" w:hAnsi="Calibri"/>
          <w:b/>
          <w:bCs/>
          <w:color w:val="26374D"/>
          <w:sz w:val="22"/>
          <w:szCs w:val="22"/>
        </w:rPr>
        <w:t xml:space="preserve">Validation. </w:t>
      </w:r>
      <w:r>
        <w:rPr>
          <w:rFonts w:ascii="Calibri" w:cs="Calibri" w:eastAsia="Calibri" w:hAnsi="Calibri"/>
          <w:sz w:val="22"/>
          <w:szCs w:val="22"/>
        </w:rPr>
        <w:t xml:space="preserve">Each quarter's data is checked against that fund's own prior quarter with context-aware rules: a NAV move is checked against the corresponding change in called capital, so capital deployment is distinguished from an unexplained valuation swing; a portfolio company's IRR turning negative for the first time is flagged as a distinct critical signal; DPI + RVPI is checked for reconciliation with stated TVPI; and GP commentary is scanned against specific multi-word risk and realization phrases (an earlier version using bare words like “paused” produced enough false positives to undermine trust in the flag queue).</w:t>
      </w:r>
    </w:p>
    <w:p>
      <w:pPr>
        <w:pStyle w:val="ListParagraph"/>
        <w:numPr>
          <w:ilvl w:val="0"/>
          <w:numId w:val="2"/>
        </w:numPr>
        <w:spacing w:after="140" w:line="300"/>
      </w:pPr>
      <w:r>
        <w:rPr>
          <w:rFonts w:ascii="Calibri" w:cs="Calibri" w:eastAsia="Calibri" w:hAnsi="Calibri"/>
          <w:b/>
          <w:bCs/>
          <w:color w:val="26374D"/>
          <w:sz w:val="22"/>
          <w:szCs w:val="22"/>
        </w:rPr>
        <w:t xml:space="preserve">Structuring. </w:t>
      </w:r>
      <w:r>
        <w:rPr>
          <w:rFonts w:ascii="Calibri" w:cs="Calibri" w:eastAsia="Calibri" w:hAnsi="Calibri"/>
          <w:sz w:val="22"/>
          <w:szCs w:val="22"/>
        </w:rPr>
        <w:t xml:space="preserve">Extracted, validated data is written to a relational schema keyed by fund and vehicle from the initial design — funds, vehicles, reports, metrics, portfolio companies, valuations, a cumulative developments log, GP commentary, validation flags — which is what allows portfolio growth to be handled as data insertion rather than structural redesign (Section 6).</w:t>
      </w:r>
    </w:p>
    <w:p>
      <w:pPr>
        <w:pStyle w:val="ListParagraph"/>
        <w:numPr>
          <w:ilvl w:val="0"/>
          <w:numId w:val="2"/>
        </w:numPr>
        <w:spacing w:after="140" w:line="300"/>
      </w:pPr>
      <w:r>
        <w:rPr>
          <w:rFonts w:ascii="Calibri" w:cs="Calibri" w:eastAsia="Calibri" w:hAnsi="Calibri"/>
          <w:b/>
          <w:bCs/>
          <w:color w:val="26374D"/>
          <w:sz w:val="22"/>
          <w:szCs w:val="22"/>
        </w:rPr>
        <w:t xml:space="preserve">Reporting. </w:t>
      </w:r>
      <w:r>
        <w:rPr>
          <w:rFonts w:ascii="Calibri" w:cs="Calibri" w:eastAsia="Calibri" w:hAnsi="Calibri"/>
          <w:sz w:val="22"/>
          <w:szCs w:val="22"/>
        </w:rPr>
        <w:t xml:space="preserve">Structured, validated, historical data is presented through a book-level view and a fund-level view, detailed in Section 5.</w:t>
      </w:r>
    </w:p>
    <w:p>
      <w:pPr>
        <w:pStyle w:val="Heading1"/>
        <w:pBdr>
          <w:bottom w:val="single" w:color="B8912F" w:sz="6" w:space="4"/>
        </w:pBdr>
        <w:spacing w:after="160" w:before="360"/>
      </w:pPr>
      <w:r>
        <w:rPr>
          <w:rFonts w:ascii="Calibri" w:cs="Calibri" w:eastAsia="Calibri" w:hAnsi="Calibri"/>
          <w:b/>
          <w:bCs/>
          <w:color w:val="26374D"/>
          <w:sz w:val="28"/>
          <w:szCs w:val="28"/>
        </w:rPr>
        <w:t xml:space="preserve">3. AI Architecture</w:t>
      </w:r>
    </w:p>
    <w:p>
      <w:pPr>
        <w:spacing w:after="180" w:line="300"/>
      </w:pPr>
      <w:r>
        <w:rPr>
          <w:rFonts w:ascii="Calibri" w:cs="Calibri" w:eastAsia="Calibri" w:hAnsi="Calibri"/>
          <w:sz w:val="22"/>
          <w:szCs w:val="22"/>
        </w:rPr>
        <w:t xml:space="preserve">Two distinct AI functions are used in this system, serving different purposes, operating under different constraints, and separated by a strict boundary.</w:t>
      </w:r>
    </w:p>
    <w:p>
      <w:pPr>
        <w:pStyle w:val="Heading2"/>
        <w:spacing w:after="120" w:before="260"/>
      </w:pPr>
      <w:r>
        <w:rPr>
          <w:rFonts w:ascii="Calibri" w:cs="Calibri" w:eastAsia="Calibri" w:hAnsi="Calibri"/>
          <w:b/>
          <w:bCs/>
          <w:color w:val="26374D"/>
          <w:sz w:val="24"/>
          <w:szCs w:val="24"/>
        </w:rPr>
        <w:t xml:space="preserve">3.1 Document Extraction — Local Model</w:t>
      </w:r>
    </w:p>
    <w:p>
      <w:pPr>
        <w:spacing w:after="180" w:line="300"/>
      </w:pPr>
      <w:r>
        <w:rPr>
          <w:rFonts w:ascii="Calibri" w:cs="Calibri" w:eastAsia="Calibri" w:hAnsi="Calibri"/>
          <w:sz w:val="22"/>
          <w:szCs w:val="22"/>
        </w:rPr>
        <w:t xml:space="preserve">Quarterly fund reports are confidential financial documents. Transmitting one to any third-party API — regardless of the vendor's stated data-handling policy — removes it from direct control the moment it is uploaded. Extraction therefore runs entirely on a local, open-weights vision-language model served by Ollama. Document pages are rendered to images and processed only on local infrastructure; no cloud AI endpoint exists in the extraction code path.</w:t>
      </w:r>
    </w:p>
    <w:p>
      <w:pPr>
        <w:spacing w:after="180" w:line="300"/>
      </w:pPr>
      <w:r>
        <w:rPr>
          <w:rFonts w:ascii="Calibri" w:cs="Calibri" w:eastAsia="Calibri" w:hAnsi="Calibri"/>
          <w:sz w:val="22"/>
          <w:szCs w:val="22"/>
        </w:rPr>
        <w:t xml:space="preserve">Model selection was determined through direct evaluation on the target hardware (an 8GB local machine), not by default choice: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460"/>
      </w:tblGrid>
      <w:tr>
        <w:trPr>
          <w:tblHeader/>
        </w:trPr>
        <w:tc>
          <w:tcPr>
            <w:tcW w:type="dxa" w:w="2200"/>
            <w:shd w:fill="26374D"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Model</w:t>
            </w:r>
          </w:p>
        </w:tc>
        <w:tc>
          <w:tcPr>
            <w:tcW w:type="dxa" w:w="1600"/>
            <w:shd w:fill="26374D"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Footprint</w:t>
            </w:r>
          </w:p>
        </w:tc>
        <w:tc>
          <w:tcPr>
            <w:tcW w:type="dxa" w:w="5460"/>
            <w:shd w:fill="26374D"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Evaluation result</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qwen2.5vl:7b</w:t>
            </w:r>
          </w:p>
        </w:tc>
        <w:tc>
          <w:tcPr>
            <w:tcW w:type="dxa" w:w="16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~7B params</w:t>
            </w:r>
          </w:p>
        </w:tc>
        <w:tc>
          <w:tcPr>
            <w:tcW w:type="dxa" w:w="546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Highest accuracy of the models tested. Exceeded available system memory on a multi-page document, causing a system crash — not viable on the target hardware.</w:t>
            </w:r>
          </w:p>
        </w:tc>
      </w:tr>
      <w:tr>
        <w:tc>
          <w:tcPr>
            <w:tcW w:type="dxa" w:w="220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moondream</w:t>
            </w:r>
          </w:p>
        </w:tc>
        <w:tc>
          <w:tcPr>
            <w:tcW w:type="dxa" w:w="160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~1.7GB</w:t>
            </w:r>
          </w:p>
        </w:tc>
        <w:tc>
          <w:tcPr>
            <w:tcW w:type="dxa" w:w="546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Stable, but insufficient accuracy — misclassified genuine reporting documents as marketing material.</w:t>
            </w:r>
          </w:p>
        </w:tc>
      </w:tr>
      <w:tr>
        <w:tc>
          <w:tcPr>
            <w:tcW w:type="dxa" w:w="2200"/>
            <w:shd w:fill="FFFFFF" w:val="clear"/>
            <w:tcMar>
              <w:top w:type="dxa" w:w="90"/>
              <w:left w:type="dxa" w:w="120"/>
              <w:bottom w:type="dxa" w:w="90"/>
              <w:right w:type="dxa" w:w="120"/>
            </w:tcMar>
            <w:vAlign w:val="center"/>
          </w:tcPr>
          <w:p>
            <w:pPr>
              <w:spacing w:line="260"/>
            </w:pPr>
            <w:r>
              <w:rPr>
                <w:rFonts w:ascii="Calibri" w:cs="Calibri" w:eastAsia="Calibri" w:hAnsi="Calibri"/>
                <w:b/>
                <w:bCs/>
                <w:color w:val="26374D"/>
                <w:sz w:val="19"/>
                <w:szCs w:val="19"/>
              </w:rPr>
              <w:t xml:space="preserve">llava-phi3 (selected)</w:t>
            </w:r>
          </w:p>
        </w:tc>
        <w:tc>
          <w:tcPr>
            <w:tcW w:type="dxa" w:w="16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~2.9GB</w:t>
            </w:r>
          </w:p>
        </w:tc>
        <w:tc>
          <w:tcPr>
            <w:tcW w:type="dxa" w:w="546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Stable on constrained hardware with materially better accuracy than moondream. Configurable via an environment variable, allowing a larger model to be substituted on stronger hardware without a code change.</w:t>
            </w:r>
          </w:p>
        </w:tc>
      </w:tr>
    </w:tbl>
    <w:p>
      <w:pPr>
        <w:spacing w:after="200"/>
      </w:pPr>
    </w:p>
    <w:p>
      <w:pPr>
        <w:spacing w:after="180" w:line="300"/>
      </w:pPr>
      <w:r>
        <w:rPr>
          <w:rFonts w:ascii="Calibri" w:cs="Calibri" w:eastAsia="Calibri" w:hAnsi="Calibri"/>
          <w:sz w:val="22"/>
          <w:szCs w:val="22"/>
        </w:rPr>
        <w:t xml:space="preserve">The extraction schema requires the model to self-report which fields it inferred rather than read directly. This is the input to a confidence-based human-review process at scale (Section 6) — the design assumes extraction accuracy is imperfect, and is built to surface where, rather than to assume correctness.</w:t>
      </w:r>
    </w:p>
    <w:p>
      <w:pPr>
        <w:pStyle w:val="Heading2"/>
        <w:spacing w:after="120" w:before="260"/>
      </w:pPr>
      <w:r>
        <w:rPr>
          <w:rFonts w:ascii="Calibri" w:cs="Calibri" w:eastAsia="Calibri" w:hAnsi="Calibri"/>
          <w:b/>
          <w:bCs/>
          <w:color w:val="26374D"/>
          <w:sz w:val="24"/>
          <w:szCs w:val="24"/>
        </w:rPr>
        <w:t xml:space="preserve">3.2 Application Development — Cloud-Assisted</w:t>
      </w:r>
    </w:p>
    <w:p>
      <w:pPr>
        <w:spacing w:after="180" w:line="300"/>
      </w:pPr>
      <w:r>
        <w:rPr>
          <w:rFonts w:ascii="Calibri" w:cs="Calibri" w:eastAsia="Calibri" w:hAnsi="Calibri"/>
          <w:sz w:val="22"/>
          <w:szCs w:val="22"/>
        </w:rPr>
        <w:t xml:space="preserve">The application itself — schema, query logic, validation rules, dashboard UI — was built with an AI coding assistant (Claude, Anthropic), under a separate, non-negotiable rule: no real confidential fund document, or content derived from one, is processed by any cloud AI tool at any stage of this project. Only synthetic, invented data passes through this channel — a structural project rule, not a discretionary practice.</w:t>
      </w:r>
    </w:p>
    <w:p>
      <w:pPr>
        <w:pStyle w:val="Heading2"/>
        <w:spacing w:after="120" w:before="260"/>
      </w:pPr>
      <w:r>
        <w:rPr>
          <w:rFonts w:ascii="Calibri" w:cs="Calibri" w:eastAsia="Calibri" w:hAnsi="Calibri"/>
          <w:b/>
          <w:bCs/>
          <w:color w:val="26374D"/>
          <w:sz w:val="24"/>
          <w:szCs w:val="24"/>
        </w:rPr>
        <w:t xml:space="preserve">3.3 Investment Summary Generation</w:t>
      </w:r>
    </w:p>
    <w:p>
      <w:pPr>
        <w:spacing w:after="180" w:line="300"/>
      </w:pPr>
      <w:r>
        <w:rPr>
          <w:rFonts w:ascii="Calibri" w:cs="Calibri" w:eastAsia="Calibri" w:hAnsi="Calibri"/>
          <w:sz w:val="22"/>
          <w:szCs w:val="22"/>
        </w:rPr>
        <w:t xml:space="preserve">A third, narrower AI function generates a short narrative summary once a quarter's data is validated and committed. It operates only on already-structured data already in the database, never the source document directly, so a summary-generation error can't affect the underlying figures.</w:t>
      </w:r>
    </w:p>
    <w:p>
      <w:pPr>
        <w:pStyle w:val="Heading1"/>
        <w:pBdr>
          <w:bottom w:val="single" w:color="B8912F" w:sz="6" w:space="4"/>
        </w:pBdr>
        <w:spacing w:after="160" w:before="360"/>
      </w:pPr>
      <w:r>
        <w:rPr>
          <w:rFonts w:ascii="Calibri" w:cs="Calibri" w:eastAsia="Calibri" w:hAnsi="Calibri"/>
          <w:b/>
          <w:bCs/>
          <w:color w:val="26374D"/>
          <w:sz w:val="28"/>
          <w:szCs w:val="28"/>
        </w:rPr>
        <w:t xml:space="preserve">4. KPI Framework</w:t>
      </w:r>
    </w:p>
    <w:p>
      <w:pPr>
        <w:spacing w:after="180" w:line="300"/>
      </w:pPr>
      <w:r>
        <w:rPr>
          <w:rFonts w:ascii="Calibri" w:cs="Calibri" w:eastAsia="Calibri" w:hAnsi="Calibri"/>
          <w:sz w:val="22"/>
          <w:szCs w:val="22"/>
        </w:rPr>
        <w:t xml:space="preserve">KPI selection was derived from the question “what would a CIO need to see to make a decision on this fund,” rather than from the full field list a report happens to contain.</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500"/>
        <w:gridCol w:w="6760"/>
      </w:tblGrid>
      <w:tr>
        <w:trPr>
          <w:tblHeader/>
        </w:trPr>
        <w:tc>
          <w:tcPr>
            <w:tcW w:type="dxa" w:w="2500"/>
            <w:shd w:fill="26374D"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Metric</w:t>
            </w:r>
          </w:p>
        </w:tc>
        <w:tc>
          <w:tcPr>
            <w:tcW w:type="dxa" w:w="6760"/>
            <w:shd w:fill="26374D"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Why it is included</w:t>
            </w:r>
          </w:p>
        </w:tc>
      </w:tr>
      <w:tr>
        <w:tc>
          <w:tcPr>
            <w:tcW w:type="dxa" w:w="25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NAV, TVPI, DPI, RVPI, IRR — gross and net, per vehicle</w:t>
            </w:r>
          </w:p>
        </w:tc>
        <w:tc>
          <w:tcPr>
            <w:tcW w:type="dxa" w:w="676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Standard performance vocabulary aligned with ILPA reporting conventions, enabling direct comparison across every fund in the book on the same basis. Reported bases (gross, net-main, net-co-invest, net-blended) are preserved distinctly rather than collapsed to a single net figure, since collapsing them can materially misstate the figure an investment committee relies on.</w:t>
            </w:r>
          </w:p>
        </w:tc>
      </w:tr>
      <w:tr>
        <w:tc>
          <w:tcPr>
            <w:tcW w:type="dxa" w:w="250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Gross-to-net spread</w:t>
            </w:r>
          </w:p>
        </w:tc>
        <w:tc>
          <w:tcPr>
            <w:tcW w:type="dxa" w:w="676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Represents fee-and-carry drag explicitly, rather than requiring it to be computed manually from two separate figures.</w:t>
            </w:r>
          </w:p>
        </w:tc>
      </w:tr>
      <w:tr>
        <w:tc>
          <w:tcPr>
            <w:tcW w:type="dxa" w:w="25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Unfunded commitment; committed vs. drawn capital (company level)</w:t>
            </w:r>
          </w:p>
        </w:tc>
        <w:tc>
          <w:tcPr>
            <w:tcW w:type="dxa" w:w="676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A liquidity-planning input as much as a performance input — what remains to be called is as operationally relevant as what has already been returned.</w:t>
            </w:r>
          </w:p>
        </w:tc>
      </w:tr>
      <w:tr>
        <w:tc>
          <w:tcPr>
            <w:tcW w:type="dxa" w:w="250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Subscription-line balance; unlevered IRR (where disclosed)</w:t>
            </w:r>
          </w:p>
        </w:tc>
        <w:tc>
          <w:tcPr>
            <w:tcW w:type="dxa" w:w="676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Isolates return inflation attributable to subscription-line leverage from underlying investment performance.</w:t>
            </w:r>
          </w:p>
        </w:tc>
      </w:tr>
      <w:tr>
        <w:tc>
          <w:tcPr>
            <w:tcW w:type="dxa" w:w="25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Quarter-over-quarter deltas; full trend history</w:t>
            </w:r>
          </w:p>
        </w:tc>
        <w:tc>
          <w:tcPr>
            <w:tcW w:type="dxa" w:w="676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The primary design requirement of this exercise: trajectory over snapshot. Every KPI carries its change from the prior quarter; every trend chart shows full history rather than the latest point alone.</w:t>
            </w:r>
          </w:p>
        </w:tc>
      </w:tr>
      <w:tr>
        <w:tc>
          <w:tcPr>
            <w:tcW w:type="dxa" w:w="250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Validation flags</w:t>
            </w:r>
          </w:p>
        </w:tc>
        <w:tc>
          <w:tcPr>
            <w:tcW w:type="dxa" w:w="676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Converts monitoring from a manual, attention-dependent review into an automated, consistently-applied check across the portfolio.</w:t>
            </w:r>
          </w:p>
        </w:tc>
      </w:tr>
      <w:tr>
        <w:tc>
          <w:tcPr>
            <w:tcW w:type="dxa" w:w="250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Concentration — by manager (book level) / by company (fund level)</w:t>
            </w:r>
          </w:p>
        </w:tc>
        <w:tc>
          <w:tcPr>
            <w:tcW w:type="dxa" w:w="676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Scoped deliberately: firm-wide GP concentration and single-fund position concentration are different questions and are answered at the level where each is actionable, rather than combined into one view that answers neither well at 40-fund scale.</w:t>
            </w:r>
          </w:p>
        </w:tc>
      </w:tr>
      <w:tr>
        <w:tc>
          <w:tcPr>
            <w:tcW w:type="dxa" w:w="250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Leverage (Net Debt/EBITDA); hedge coverage (where disclosed)</w:t>
            </w:r>
          </w:p>
        </w:tc>
        <w:tc>
          <w:tcPr>
            <w:tcW w:type="dxa" w:w="676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A concise, CIO-level credit-risk read rather than a full risk-desk view, shown only where the underlying position discloses the data.</w:t>
            </w:r>
          </w:p>
        </w:tc>
      </w:tr>
    </w:tbl>
    <w:p>
      <w:pPr>
        <w:spacing w:after="200"/>
      </w:pPr>
    </w:p>
    <w:p>
      <w:pPr>
        <w:pStyle w:val="Heading1"/>
        <w:pBdr>
          <w:bottom w:val="single" w:color="B8912F" w:sz="6" w:space="4"/>
        </w:pBdr>
        <w:spacing w:after="160" w:before="360"/>
      </w:pPr>
      <w:r>
        <w:rPr>
          <w:rFonts w:ascii="Calibri" w:cs="Calibri" w:eastAsia="Calibri" w:hAnsi="Calibri"/>
          <w:b/>
          <w:bCs/>
          <w:color w:val="26374D"/>
          <w:sz w:val="28"/>
          <w:szCs w:val="28"/>
        </w:rPr>
        <w:t xml:space="preserve">5. Dashboard Design — Two Cases</w:t>
      </w:r>
    </w:p>
    <w:p>
      <w:pPr>
        <w:spacing w:after="180" w:line="300"/>
      </w:pPr>
      <w:r>
        <w:rPr>
          <w:rFonts w:ascii="Calibri" w:cs="Calibri" w:eastAsia="Calibri" w:hAnsi="Calibri"/>
          <w:sz w:val="22"/>
          <w:szCs w:val="22"/>
        </w:rPr>
        <w:t xml:space="preserve">The dashboard is organized into two tiers — a book-level Executive Summary and a fund-level detail page — corresponding to the two classes of question a CIO asks at different cadences. Two specific design decisions below illustrate the process used throughout: build, test against the actual question the element needs to answer, and revise if it doesn't.</w:t>
      </w:r>
    </w:p>
    <w:p>
      <w:pPr>
        <w:spacing w:after="180" w:line="300"/>
      </w:pPr>
      <w:r>
        <w:rPr>
          <w:rFonts w:ascii="Calibri" w:cs="Calibri" w:eastAsia="Calibri" w:hAnsi="Calibri"/>
          <w:b/>
          <w:bCs/>
          <w:color w:val="26374D"/>
          <w:sz w:val="22"/>
          <w:szCs w:val="22"/>
        </w:rPr>
        <w:t xml:space="preserve">Cash-flow visualization. </w:t>
      </w:r>
      <w:r>
        <w:rPr>
          <w:rFonts w:ascii="Calibri" w:cs="Calibri" w:eastAsia="Calibri" w:hAnsi="Calibri"/>
          <w:sz w:val="22"/>
          <w:szCs w:val="22"/>
        </w:rPr>
        <w:t xml:space="preserve">Three approaches were evaluated before the final design. An overlapping three-line chart (called capital, NAV, distributions) was accurate but not legible at a glance. A stacked-area version read worse: area fill is only honest on a zero-based axis, and this fund's value range didn't occupy enough of that axis for the fill to carry information. A grouped three-bar version fixed legibility and color contrast, but still required the reader to mentally stack two bars to see whether total value had crossed called capital — the point where TVPI passes 1.0x. The final design stacks NAV and distributed capital into one Total Value bar and overlays called capital as a reference line, so that comparison is visible directly rather than computed by the reader.</w:t>
      </w:r>
    </w:p>
    <w:p>
      <w:pPr>
        <w:spacing w:after="180" w:line="300"/>
      </w:pPr>
      <w:r>
        <w:rPr>
          <w:rFonts w:ascii="Calibri" w:cs="Calibri" w:eastAsia="Calibri" w:hAnsi="Calibri"/>
          <w:b/>
          <w:bCs/>
          <w:color w:val="26374D"/>
          <w:sz w:val="22"/>
          <w:szCs w:val="22"/>
        </w:rPr>
        <w:t xml:space="preserve">Alerts — scope and redundancy review. </w:t>
      </w:r>
      <w:r>
        <w:rPr>
          <w:rFonts w:ascii="Calibri" w:cs="Calibri" w:eastAsia="Calibri" w:hAnsi="Calibri"/>
          <w:sz w:val="22"/>
          <w:szCs w:val="22"/>
        </w:rPr>
        <w:t xml:space="preserve">The book-wide Alerts view was audited for redundancy against the rest of the dashboard. Concentration, leverage, and at-cost-streak checks duplicated a figure already visible — and often better visualized — on the relevant fund or company page, so they were relocated to in-context badges where the underlying number is shown. Alerts now retains only signals with no natural page-level home: NAV-movement reasoning, a fresh IRR turning negative, the DPI+RVPI-to-TVPI consistency check, and GP-commentary keyword matches. Since this system has no flag-resolution workflow, a recurring issue across quarters is grouped and tracked as one ongoing item — ranked by severity, then duration open — rather than shown as repeated, unrelated entries, which is the structure this view needs to stay useful well past the current demo's fund count.</w:t>
      </w:r>
    </w:p>
    <w:p>
      <w:pPr>
        <w:pStyle w:val="Heading1"/>
        <w:pBdr>
          <w:bottom w:val="single" w:color="B8912F" w:sz="6" w:space="4"/>
        </w:pBdr>
        <w:spacing w:after="160" w:before="360"/>
      </w:pPr>
      <w:r>
        <w:rPr>
          <w:rFonts w:ascii="Calibri" w:cs="Calibri" w:eastAsia="Calibri" w:hAnsi="Calibri"/>
          <w:b/>
          <w:bCs/>
          <w:color w:val="26374D"/>
          <w:sz w:val="28"/>
          <w:szCs w:val="28"/>
        </w:rPr>
        <w:t xml:space="preserve">6. Scalability to 40+ Funds</w:t>
      </w:r>
    </w:p>
    <w:p>
      <w:pPr>
        <w:spacing w:after="180" w:line="300"/>
      </w:pPr>
      <w:r>
        <w:rPr>
          <w:rFonts w:ascii="Calibri" w:cs="Calibri" w:eastAsia="Calibri" w:hAnsi="Calibri"/>
          <w:sz w:val="22"/>
          <w:szCs w:val="22"/>
        </w:rPr>
        <w:t xml:space="preserve">The components of this system scale differently, and are addressed separately below rather than characterized in aggregate.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200"/>
        <w:gridCol w:w="6060"/>
      </w:tblGrid>
      <w:tr>
        <w:trPr>
          <w:tblHeader/>
        </w:trPr>
        <w:tc>
          <w:tcPr>
            <w:tcW w:type="dxa" w:w="3200"/>
            <w:shd w:fill="26374D"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Component</w:t>
            </w:r>
          </w:p>
        </w:tc>
        <w:tc>
          <w:tcPr>
            <w:tcW w:type="dxa" w:w="6060"/>
            <w:shd w:fill="26374D"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Status at 40+ funds</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b/>
                <w:bCs/>
                <w:color w:val="26374D"/>
                <w:sz w:val="19"/>
                <w:szCs w:val="19"/>
              </w:rPr>
              <w:t xml:space="preserve">Data schema</w:t>
            </w:r>
          </w:p>
        </w:tc>
        <w:tc>
          <w:tcPr>
            <w:tcW w:type="dxa" w:w="606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Scales without modification. Every table is keyed by fund_id/vehicle_id; adding a fund is a data insertion, not a schema change.</w:t>
            </w:r>
          </w:p>
        </w:tc>
      </w:tr>
      <w:tr>
        <w:tc>
          <w:tcPr>
            <w:tcW w:type="dxa" w:w="3200"/>
            <w:shd w:fill="F4F5F7" w:val="clear"/>
            <w:tcMar>
              <w:top w:type="dxa" w:w="90"/>
              <w:left w:type="dxa" w:w="120"/>
              <w:bottom w:type="dxa" w:w="90"/>
              <w:right w:type="dxa" w:w="120"/>
            </w:tcMar>
            <w:vAlign w:val="center"/>
          </w:tcPr>
          <w:p>
            <w:pPr>
              <w:spacing w:line="260"/>
            </w:pPr>
            <w:r>
              <w:rPr>
                <w:rFonts w:ascii="Calibri" w:cs="Calibri" w:eastAsia="Calibri" w:hAnsi="Calibri"/>
                <w:b/>
                <w:bCs/>
                <w:color w:val="26374D"/>
                <w:sz w:val="19"/>
                <w:szCs w:val="19"/>
              </w:rPr>
              <w:t xml:space="preserve">Book-level dashboard</w:t>
            </w:r>
          </w:p>
        </w:tc>
        <w:tc>
          <w:tcPr>
            <w:tcW w:type="dxa" w:w="606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Scales without modification. The aggregation logic operates identically regardless of fund count.</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b/>
                <w:bCs/>
                <w:color w:val="26374D"/>
                <w:sz w:val="19"/>
                <w:szCs w:val="19"/>
              </w:rPr>
              <w:t xml:space="preserve">Validation engine</w:t>
            </w:r>
          </w:p>
        </w:tc>
        <w:tc>
          <w:tcPr>
            <w:tcW w:type="dxa" w:w="606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Scales without modification. Rules run automatically per fund per quarter and do not depend on a reviewer's attention scaling with portfolio size.</w:t>
            </w:r>
          </w:p>
        </w:tc>
      </w:tr>
      <w:tr>
        <w:tc>
          <w:tcPr>
            <w:tcW w:type="dxa" w:w="3200"/>
            <w:shd w:fill="F4F5F7" w:val="clear"/>
            <w:tcMar>
              <w:top w:type="dxa" w:w="90"/>
              <w:left w:type="dxa" w:w="120"/>
              <w:bottom w:type="dxa" w:w="90"/>
              <w:right w:type="dxa" w:w="120"/>
            </w:tcMar>
            <w:vAlign w:val="center"/>
          </w:tcPr>
          <w:p>
            <w:pPr>
              <w:spacing w:line="260"/>
            </w:pPr>
            <w:r>
              <w:rPr>
                <w:rFonts w:ascii="Calibri" w:cs="Calibri" w:eastAsia="Calibri" w:hAnsi="Calibri"/>
                <w:b/>
                <w:bCs/>
                <w:color w:val="26374D"/>
                <w:sz w:val="19"/>
                <w:szCs w:val="19"/>
              </w:rPr>
              <w:t xml:space="preserve">Data volume (Postgres)</w:t>
            </w:r>
          </w:p>
        </w:tc>
        <w:tc>
          <w:tcPr>
            <w:tcW w:type="dxa" w:w="6060"/>
            <w:shd w:fill="F4F5F7"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Not a constraint at this scale. 40 funds across several years of quarterly history and a typical portfolio-company count is on the order of tens of thousands of rows — well within standard relational-database capacity.</w:t>
            </w:r>
          </w:p>
        </w:tc>
      </w:tr>
      <w:tr>
        <w:tc>
          <w:tcPr>
            <w:tcW w:type="dxa" w:w="3200"/>
            <w:shd w:fill="FFFFFF" w:val="clear"/>
            <w:tcMar>
              <w:top w:type="dxa" w:w="90"/>
              <w:left w:type="dxa" w:w="120"/>
              <w:bottom w:type="dxa" w:w="90"/>
              <w:right w:type="dxa" w:w="120"/>
            </w:tcMar>
            <w:vAlign w:val="center"/>
          </w:tcPr>
          <w:p>
            <w:pPr>
              <w:spacing w:line="260"/>
            </w:pPr>
            <w:r>
              <w:rPr>
                <w:rFonts w:ascii="Calibri" w:cs="Calibri" w:eastAsia="Calibri" w:hAnsi="Calibri"/>
                <w:b/>
                <w:bCs/>
                <w:color w:val="26374D"/>
                <w:sz w:val="19"/>
                <w:szCs w:val="19"/>
              </w:rPr>
              <w:t xml:space="preserve">Document extraction throughput</w:t>
            </w:r>
          </w:p>
        </w:tc>
        <w:tc>
          <w:tcPr>
            <w:tcW w:type="dxa" w:w="6060"/>
            <w:shd w:fill="FFFFFF" w:val="clear"/>
            <w:tcMar>
              <w:top w:type="dxa" w:w="90"/>
              <w:left w:type="dxa" w:w="120"/>
              <w:bottom w:type="dxa" w:w="90"/>
              <w:right w:type="dxa" w:w="120"/>
            </w:tcMar>
            <w:vAlign w:val="center"/>
          </w:tcPr>
          <w:p>
            <w:pPr>
              <w:spacing w:line="260"/>
            </w:pPr>
            <w:r>
              <w:rPr>
                <w:rFonts w:ascii="Calibri" w:cs="Calibri" w:eastAsia="Calibri" w:hAnsi="Calibri"/>
                <w:b w:val="false"/>
                <w:bCs w:val="false"/>
                <w:color w:val="222222"/>
                <w:sz w:val="19"/>
                <w:szCs w:val="19"/>
              </w:rPr>
              <w:t xml:space="preserve">Requires additional infrastructure. See below.</w:t>
            </w:r>
          </w:p>
        </w:tc>
      </w:tr>
    </w:tbl>
    <w:p>
      <w:pPr>
        <w:spacing w:after="200"/>
      </w:pPr>
    </w:p>
    <w:p>
      <w:pPr>
        <w:spacing w:after="180" w:line="300"/>
      </w:pPr>
      <w:r>
        <w:rPr>
          <w:rFonts w:ascii="Calibri" w:cs="Calibri" w:eastAsia="Calibri" w:hAnsi="Calibri"/>
          <w:sz w:val="22"/>
          <w:szCs w:val="22"/>
        </w:rPr>
        <w:t xml:space="preserve">Extraction currently runs on a local, CPU-only, 8GB machine, processing one document at a time synchronously — adequate for one fund's report, not for 40 funds' quarterly packages arriving in the same window. Closing that gap requires:</w:t>
      </w:r>
    </w:p>
    <w:p>
      <w:pPr>
        <w:pStyle w:val="ListParagraph"/>
        <w:numPr>
          <w:ilvl w:val="0"/>
          <w:numId w:val="2"/>
        </w:numPr>
        <w:spacing w:after="140" w:line="300"/>
      </w:pPr>
      <w:r>
        <w:rPr>
          <w:rFonts w:ascii="Calibri" w:cs="Calibri" w:eastAsia="Calibri" w:hAnsi="Calibri"/>
          <w:b/>
          <w:bCs/>
          <w:color w:val="26374D"/>
          <w:sz w:val="22"/>
          <w:szCs w:val="22"/>
        </w:rPr>
        <w:t xml:space="preserve">Dedicated private inference hardware: </w:t>
      </w:r>
      <w:r>
        <w:rPr>
          <w:rFonts w:ascii="Calibri" w:cs="Calibri" w:eastAsia="Calibri" w:hAnsi="Calibri"/>
          <w:sz w:val="22"/>
          <w:szCs w:val="22"/>
        </w:rPr>
        <w:t xml:space="preserve">the same open-weights model class on GPU infrastructure the firm controls, preserving the no-third-party-API constraint while resolving throughput.</w:t>
      </w:r>
    </w:p>
    <w:p>
      <w:pPr>
        <w:pStyle w:val="ListParagraph"/>
        <w:numPr>
          <w:ilvl w:val="0"/>
          <w:numId w:val="2"/>
        </w:numPr>
        <w:spacing w:after="140" w:line="300"/>
      </w:pPr>
      <w:r>
        <w:rPr>
          <w:rFonts w:ascii="Calibri" w:cs="Calibri" w:eastAsia="Calibri" w:hAnsi="Calibri"/>
          <w:b/>
          <w:bCs/>
          <w:color w:val="26374D"/>
          <w:sz w:val="22"/>
          <w:szCs w:val="22"/>
        </w:rPr>
        <w:t xml:space="preserve">Asynchronous processing: </w:t>
      </w:r>
      <w:r>
        <w:rPr>
          <w:rFonts w:ascii="Calibri" w:cs="Calibri" w:eastAsia="Calibri" w:hAnsi="Calibri"/>
          <w:sz w:val="22"/>
          <w:szCs w:val="22"/>
        </w:rPr>
        <w:t xml:space="preserve">a job queue processing uploaded documents in parallel across workers, rather than one at a time.</w:t>
      </w:r>
    </w:p>
    <w:p>
      <w:pPr>
        <w:pStyle w:val="ListParagraph"/>
        <w:numPr>
          <w:ilvl w:val="0"/>
          <w:numId w:val="2"/>
        </w:numPr>
        <w:spacing w:after="140" w:line="300"/>
      </w:pPr>
      <w:r>
        <w:rPr>
          <w:rFonts w:ascii="Calibri" w:cs="Calibri" w:eastAsia="Calibri" w:hAnsi="Calibri"/>
          <w:b/>
          <w:bCs/>
          <w:color w:val="26374D"/>
          <w:sz w:val="22"/>
          <w:szCs w:val="22"/>
        </w:rPr>
        <w:t xml:space="preserve">Confidence-based review routing: </w:t>
      </w:r>
      <w:r>
        <w:rPr>
          <w:rFonts w:ascii="Calibri" w:cs="Calibri" w:eastAsia="Calibri" w:hAnsi="Calibri"/>
          <w:sz w:val="22"/>
          <w:szCs w:val="22"/>
        </w:rPr>
        <w:t xml:space="preserve">low-confidence fields already tagged by the model route to human review before commit; high-confidence extractions proceed automatically — fast on the majority, safe on the minority that need a closer look.</w:t>
      </w:r>
    </w:p>
    <w:p>
      <w:pPr>
        <w:pStyle w:val="ListParagraph"/>
        <w:numPr>
          <w:ilvl w:val="0"/>
          <w:numId w:val="2"/>
        </w:numPr>
        <w:spacing w:after="140" w:line="300"/>
      </w:pPr>
      <w:r>
        <w:rPr>
          <w:rFonts w:ascii="Calibri" w:cs="Calibri" w:eastAsia="Calibri" w:hAnsi="Calibri"/>
          <w:b/>
          <w:bCs/>
          <w:color w:val="26374D"/>
          <w:sz w:val="22"/>
          <w:szCs w:val="22"/>
        </w:rPr>
        <w:t xml:space="preserve">Template-level tuning: </w:t>
      </w:r>
      <w:r>
        <w:rPr>
          <w:rFonts w:ascii="Calibri" w:cs="Calibri" w:eastAsia="Calibri" w:hAnsi="Calibri"/>
          <w:sz w:val="22"/>
          <w:szCs w:val="22"/>
        </w:rPr>
        <w:t xml:space="preserve">reporting formats vary across GPs; per-template prompt tuning is expected to be ongoing and empirical, not a fixed upfront task.</w:t>
      </w:r>
    </w:p>
    <w:p>
      <w:pPr>
        <w:pStyle w:val="Heading1"/>
        <w:pBdr>
          <w:bottom w:val="single" w:color="B8912F" w:sz="6" w:space="4"/>
        </w:pBdr>
        <w:spacing w:after="160" w:before="360"/>
      </w:pPr>
      <w:r>
        <w:rPr>
          <w:rFonts w:ascii="Calibri" w:cs="Calibri" w:eastAsia="Calibri" w:hAnsi="Calibri"/>
          <w:b/>
          <w:bCs/>
          <w:color w:val="26374D"/>
          <w:sz w:val="28"/>
          <w:szCs w:val="28"/>
        </w:rPr>
        <w:t xml:space="preserve">7. Confidentiality &amp; Data Governance</w:t>
      </w:r>
    </w:p>
    <w:p>
      <w:pPr>
        <w:spacing w:after="180" w:line="300"/>
      </w:pPr>
      <w:r>
        <w:rPr>
          <w:rFonts w:ascii="Calibri" w:cs="Calibri" w:eastAsia="Calibri" w:hAnsi="Calibri"/>
          <w:sz w:val="22"/>
          <w:szCs w:val="22"/>
        </w:rPr>
        <w:t xml:space="preserve">This project was informed by seven real, confidential quarterly reports from a real fund, reviewed under NDA. Real confidential reports are reviewed directly by the analyst and are never pasted into, uploaded to, or processed by any cloud AI tool, including the assistant used for application development — enforced structurally, since no cloud AI code path exists anywhere in the document-extraction pipeline. All demonstration and seed data is entirely synthetic. Extracted data with low model confidence is intended to route to human review before being committed to historical records (Section 6), rather than trusted without verification.</w:t>
      </w:r>
    </w:p>
    <w:p>
      <w:pPr>
        <w:pStyle w:val="Heading1"/>
        <w:pBdr>
          <w:bottom w:val="single" w:color="B8912F" w:sz="6" w:space="4"/>
        </w:pBdr>
        <w:spacing w:after="160" w:before="360"/>
      </w:pPr>
      <w:r>
        <w:rPr>
          <w:rFonts w:ascii="Calibri" w:cs="Calibri" w:eastAsia="Calibri" w:hAnsi="Calibri"/>
          <w:b/>
          <w:bCs/>
          <w:color w:val="26374D"/>
          <w:sz w:val="28"/>
          <w:szCs w:val="28"/>
        </w:rPr>
        <w:t xml:space="preserve">8. Known Limitations &amp; Next Steps</w:t>
      </w:r>
    </w:p>
    <w:p>
      <w:pPr>
        <w:pStyle w:val="ListParagraph"/>
        <w:numPr>
          <w:ilvl w:val="0"/>
          <w:numId w:val="2"/>
        </w:numPr>
        <w:spacing w:after="140" w:line="300"/>
      </w:pPr>
      <w:r>
        <w:rPr>
          <w:rFonts w:ascii="Calibri" w:cs="Calibri" w:eastAsia="Calibri" w:hAnsi="Calibri"/>
          <w:sz w:val="22"/>
          <w:szCs w:val="22"/>
        </w:rPr>
        <w:t xml:space="preserve">Extraction runs on local, non-production hardware today; Section 6 specifies the infrastructure needed at 40-fund volume, none of it built yet.</w:t>
      </w:r>
    </w:p>
    <w:p>
      <w:pPr>
        <w:pStyle w:val="ListParagraph"/>
        <w:numPr>
          <w:ilvl w:val="0"/>
          <w:numId w:val="2"/>
        </w:numPr>
        <w:spacing w:after="140" w:line="300"/>
      </w:pPr>
      <w:r>
        <w:rPr>
          <w:rFonts w:ascii="Calibri" w:cs="Calibri" w:eastAsia="Calibri" w:hAnsi="Calibri"/>
          <w:sz w:val="22"/>
          <w:szCs w:val="22"/>
        </w:rPr>
        <w:t xml:space="preserve">The validation rule set is an initial, not exhaustive, set — extending it should involve the investment team's input on what else should trigger review.</w:t>
      </w:r>
    </w:p>
    <w:p>
      <w:pPr>
        <w:pStyle w:val="ListParagraph"/>
        <w:numPr>
          <w:ilvl w:val="0"/>
          <w:numId w:val="2"/>
        </w:numPr>
        <w:spacing w:after="140" w:line="300"/>
      </w:pPr>
      <w:r>
        <w:rPr>
          <w:rFonts w:ascii="Calibri" w:cs="Calibri" w:eastAsia="Calibri" w:hAnsi="Calibri"/>
          <w:sz w:val="22"/>
          <w:szCs w:val="22"/>
        </w:rPr>
        <w:t xml:space="preserve">The pipeline hasn't yet run end-to-end against a real quarterly report, pending an executed NDA.</w:t>
      </w:r>
    </w:p>
    <w:p>
      <w:pPr>
        <w:pStyle w:val="ListParagraph"/>
        <w:numPr>
          <w:ilvl w:val="0"/>
          <w:numId w:val="2"/>
        </w:numPr>
        <w:spacing w:after="140" w:line="300"/>
      </w:pPr>
      <w:r>
        <w:rPr>
          <w:rFonts w:ascii="Calibri" w:cs="Calibri" w:eastAsia="Calibri" w:hAnsi="Calibri"/>
          <w:sz w:val="22"/>
          <w:szCs w:val="22"/>
        </w:rPr>
        <w:t xml:space="preserve">Access control on the hosted demo is a single shared password — appropriate for a prototype, not production-grade multi-user auth.</w:t>
      </w:r>
    </w:p>
    <w:p>
      <w:pPr>
        <w:pStyle w:val="Heading1"/>
        <w:pBdr>
          <w:bottom w:val="single" w:color="B8912F" w:sz="6" w:space="4"/>
        </w:pBdr>
        <w:spacing w:after="160" w:before="360"/>
      </w:pPr>
      <w:r>
        <w:rPr>
          <w:rFonts w:ascii="Calibri" w:cs="Calibri" w:eastAsia="Calibri" w:hAnsi="Calibri"/>
          <w:b/>
          <w:bCs/>
          <w:color w:val="26374D"/>
          <w:sz w:val="28"/>
          <w:szCs w:val="28"/>
        </w:rPr>
        <w:t xml:space="preserve">9. Sources</w:t>
      </w:r>
    </w:p>
    <w:p>
      <w:pPr>
        <w:pStyle w:val="ListParagraph"/>
        <w:numPr>
          <w:ilvl w:val="0"/>
          <w:numId w:val="2"/>
        </w:numPr>
        <w:spacing w:after="140" w:line="300"/>
      </w:pPr>
      <w:r>
        <w:rPr>
          <w:rFonts w:ascii="Calibri" w:cs="Calibri" w:eastAsia="Calibri" w:hAnsi="Calibri"/>
          <w:sz w:val="22"/>
          <w:szCs w:val="22"/>
        </w:rPr>
        <w:t xml:space="preserve">KPI definitions and reporting conventions (TVPI, DPI, RVPI, gross/net IRR) follow institutional LP reporting practice as codified by ILPA (Institutional Limited Partners Association) templates.</w:t>
      </w:r>
    </w:p>
    <w:p>
      <w:pPr>
        <w:pStyle w:val="ListParagraph"/>
        <w:numPr>
          <w:ilvl w:val="0"/>
          <w:numId w:val="2"/>
        </w:numPr>
        <w:spacing w:after="140" w:line="300"/>
      </w:pPr>
      <w:r>
        <w:rPr>
          <w:rFonts w:ascii="Calibri" w:cs="Calibri" w:eastAsia="Calibri" w:hAnsi="Calibri"/>
          <w:sz w:val="22"/>
          <w:szCs w:val="22"/>
        </w:rPr>
        <w:t xml:space="preserve">Local extraction runs on Ollama (open-source local model runtime) with a vision-capable open-weights model (llava-phi3, configurable).</w:t>
      </w:r>
    </w:p>
    <w:p>
      <w:pPr>
        <w:pStyle w:val="ListParagraph"/>
        <w:numPr>
          <w:ilvl w:val="0"/>
          <w:numId w:val="2"/>
        </w:numPr>
        <w:spacing w:after="140" w:line="300"/>
      </w:pPr>
      <w:r>
        <w:rPr>
          <w:rFonts w:ascii="Calibri" w:cs="Calibri" w:eastAsia="Calibri" w:hAnsi="Calibri"/>
          <w:sz w:val="22"/>
          <w:szCs w:val="22"/>
        </w:rPr>
        <w:t xml:space="preserve">Built on Next.js, PostgreSQL (via Drizzle ORM, hosted on Supabase), and Recharts for visualization; deployed on Vercel.</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2026-07-31T19:54:02.591Z</dcterms:created>
  <dcterms:modified xsi:type="dcterms:W3CDTF">2026-07-31T19:54:02.593Z</dcterms:modified>
</cp:coreProperties>
</file>

<file path=docProps/custom.xml><?xml version="1.0" encoding="utf-8"?>
<Properties xmlns="http://schemas.openxmlformats.org/officeDocument/2006/custom-properties" xmlns:vt="http://schemas.openxmlformats.org/officeDocument/2006/docPropsVTypes"/>
</file>