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77777777"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 xml:space="preserve">divided into investment up to the point of pollination (pollen-attraction costs) versus investment in the seed and packaging and dispersal tissues (provisioning costs). </w:t>
      </w:r>
      <w:commentRangeStart w:id="2"/>
      <w:r w:rsidR="007A3329">
        <w:t>Each of these pools can be further divided into energy invested in tissues associated with ovules that progress to mature seeds (success costs) versus tissues that are aborted along the developmental traje</w:t>
      </w:r>
      <w:r w:rsidR="00802465">
        <w:t xml:space="preserve">ctory (discarded tissue costs). </w:t>
      </w:r>
      <w:commentRangeEnd w:id="2"/>
      <w:r w:rsidR="00262A45">
        <w:rPr>
          <w:rStyle w:val="CommentReference"/>
        </w:rPr>
        <w:commentReference w:id="2"/>
      </w:r>
      <w:r w:rsidR="00802465">
        <w:t xml:space="preserve">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tenfold 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63DD6BEC" w:rsidR="00262A45" w:rsidRDefault="00802465" w:rsidP="00262A45">
      <w:r>
        <w:lastRenderedPageBreak/>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of a fixed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floral construction costs, seedset and seed size, reflecting alternate strategies to maximize fitness. </w:t>
      </w:r>
      <w:commentRangeStart w:id="3"/>
      <w:r w:rsidR="00B24B98">
        <w:t>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w:t>
      </w:r>
      <w:commentRangeEnd w:id="3"/>
      <w:r w:rsidR="00262A45">
        <w:rPr>
          <w:rStyle w:val="CommentReference"/>
        </w:rPr>
        <w:commentReference w:id="3"/>
      </w:r>
      <w:r w:rsidR="00BB7229">
        <w:t xml:space="preserve">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w:t>
      </w:r>
      <w:proofErr w:type="spellStart"/>
      <w:r w:rsidRPr="000B50E7">
        <w:rPr>
          <w:rFonts w:cs="Times New Roman"/>
        </w:rPr>
        <w:t>Obeso</w:t>
      </w:r>
      <w:proofErr w:type="spellEnd"/>
      <w:r w:rsidRPr="000B50E7">
        <w:rPr>
          <w:rFonts w:cs="Times New Roman"/>
        </w:rPr>
        <w:t xml:space="preserve">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w:t>
      </w:r>
      <w:r w:rsidR="00210508" w:rsidRPr="003C3342">
        <w:lastRenderedPageBreak/>
        <w:t xml:space="preserve">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 xml:space="preserve">(Haig &amp; Westoby 1988; Ashman 1994; </w:t>
      </w:r>
      <w:proofErr w:type="spellStart"/>
      <w:r w:rsidR="00181612" w:rsidRPr="00181612">
        <w:rPr>
          <w:rFonts w:cs="Times New Roman"/>
        </w:rPr>
        <w:t>Henery</w:t>
      </w:r>
      <w:proofErr w:type="spellEnd"/>
      <w:r w:rsidR="00181612" w:rsidRPr="00181612">
        <w:rPr>
          <w:rFonts w:cs="Times New Roman"/>
        </w:rPr>
        <w:t xml:space="preserve"> &amp; Westoby 2001; Lord &amp; Westoby 2006; Chen, </w:t>
      </w:r>
      <w:proofErr w:type="spellStart"/>
      <w:r w:rsidR="00181612" w:rsidRPr="00181612">
        <w:rPr>
          <w:rFonts w:cs="Times New Roman"/>
        </w:rPr>
        <w:t>Felker</w:t>
      </w:r>
      <w:proofErr w:type="spellEnd"/>
      <w:r w:rsidR="00181612" w:rsidRPr="00181612">
        <w:rPr>
          <w:rFonts w:cs="Times New Roman"/>
        </w:rPr>
        <w:t xml:space="preserve">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78F1851"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7A8C19C7" w:rsidR="00F51CF7" w:rsidRDefault="00F51CF7" w:rsidP="00F51CF7">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w:t>
      </w:r>
      <w:proofErr w:type="spellStart"/>
      <w:r w:rsidR="0094074D" w:rsidRPr="0094074D">
        <w:rPr>
          <w:rFonts w:cs="Times New Roman"/>
        </w:rPr>
        <w:t>Bierzychudek</w:t>
      </w:r>
      <w:proofErr w:type="spellEnd"/>
      <w:r w:rsidR="0094074D" w:rsidRPr="0094074D">
        <w:rPr>
          <w:rFonts w:cs="Times New Roman"/>
        </w:rPr>
        <w:t xml:space="preserve"> 1981; Stephenson 1981; Sutherland 1986; </w:t>
      </w:r>
      <w:proofErr w:type="spellStart"/>
      <w:r w:rsidR="0094074D" w:rsidRPr="0094074D">
        <w:rPr>
          <w:rFonts w:cs="Times New Roman"/>
        </w:rPr>
        <w:t>Burd</w:t>
      </w:r>
      <w:proofErr w:type="spellEnd"/>
      <w:r w:rsidR="0094074D" w:rsidRPr="0094074D">
        <w:rPr>
          <w:rFonts w:cs="Times New Roman"/>
        </w:rPr>
        <w:t xml:space="preserve"> 1994; Ramsey 1997; </w:t>
      </w:r>
      <w:proofErr w:type="spellStart"/>
      <w:r w:rsidR="0094074D" w:rsidRPr="0094074D">
        <w:rPr>
          <w:rFonts w:cs="Times New Roman"/>
        </w:rPr>
        <w:t>Obeso</w:t>
      </w:r>
      <w:proofErr w:type="spellEnd"/>
      <w:r w:rsidR="0094074D" w:rsidRPr="0094074D">
        <w:rPr>
          <w:rFonts w:cs="Times New Roman"/>
        </w:rPr>
        <w:t xml:space="preserve">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w:t>
      </w:r>
      <w:proofErr w:type="spellStart"/>
      <w:r w:rsidR="0094074D" w:rsidRPr="0094074D">
        <w:rPr>
          <w:rFonts w:cs="Times New Roman"/>
        </w:rPr>
        <w:t>Burd</w:t>
      </w:r>
      <w:proofErr w:type="spellEnd"/>
      <w:r w:rsidR="0094074D" w:rsidRPr="0094074D">
        <w:rPr>
          <w:rFonts w:cs="Times New Roman"/>
        </w:rPr>
        <w:t xml:space="preserve"> 2008; Rosenheim, Schreiber &amp; Williams 2015)</w:t>
      </w:r>
      <w:r w:rsidRPr="003C3342">
        <w:fldChar w:fldCharType="end"/>
      </w:r>
      <w:r>
        <w:t xml:space="preserve">. </w:t>
      </w:r>
    </w:p>
    <w:p w14:paraId="656C6D7C" w14:textId="1356EFE2" w:rsidR="00C70B23" w:rsidRDefault="004B4DA5" w:rsidP="00C70B23">
      <w:commentRangeStart w:id="4"/>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Together these yield hypotheses on how energy allocation should differ systematically with respect to seed size.</w:t>
      </w:r>
      <w:commentRangeEnd w:id="4"/>
      <w:r w:rsidR="00330C68">
        <w:rPr>
          <w:rStyle w:val="CommentReference"/>
        </w:rPr>
        <w:commentReference w:id="4"/>
      </w:r>
    </w:p>
    <w:p w14:paraId="46C96615" w14:textId="42199F06" w:rsidR="00CF3967" w:rsidRDefault="00085F30" w:rsidP="00FF02E0">
      <w:r>
        <w:rPr>
          <w:b/>
        </w:rPr>
        <w:lastRenderedPageBreak/>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w:t>
      </w:r>
      <w:proofErr w:type="spellStart"/>
      <w:r w:rsidR="007616B9" w:rsidRPr="007616B9">
        <w:rPr>
          <w:rFonts w:cs="Times New Roman"/>
        </w:rPr>
        <w:t>Fretwell</w:t>
      </w:r>
      <w:proofErr w:type="spellEnd"/>
      <w:r w:rsidR="007616B9" w:rsidRPr="007616B9">
        <w:rPr>
          <w:rFonts w:cs="Times New Roman"/>
        </w:rPr>
        <w:t xml:space="preserve"> 1974; </w:t>
      </w:r>
      <w:proofErr w:type="spellStart"/>
      <w:r w:rsidR="007616B9" w:rsidRPr="007616B9">
        <w:rPr>
          <w:rFonts w:cs="Times New Roman"/>
        </w:rPr>
        <w:t>Henery</w:t>
      </w:r>
      <w:proofErr w:type="spellEnd"/>
      <w:r w:rsidR="007616B9" w:rsidRPr="007616B9">
        <w:rPr>
          <w:rFonts w:cs="Times New Roman"/>
        </w:rPr>
        <w:t xml:space="preserve"> &amp; Westoby 2001; Moles </w:t>
      </w:r>
      <w:r w:rsidR="007616B9" w:rsidRPr="007616B9">
        <w:rPr>
          <w:rFonts w:cs="Times New Roman"/>
          <w:i/>
          <w:iCs/>
        </w:rPr>
        <w:t>et al.</w:t>
      </w:r>
      <w:r w:rsidR="007616B9" w:rsidRPr="007616B9">
        <w:rPr>
          <w:rFonts w:cs="Times New Roman"/>
        </w:rPr>
        <w:t xml:space="preserve"> 2004; </w:t>
      </w:r>
      <w:proofErr w:type="spellStart"/>
      <w:r w:rsidR="007616B9" w:rsidRPr="007616B9">
        <w:rPr>
          <w:rFonts w:cs="Times New Roman"/>
        </w:rPr>
        <w:t>Sadras</w:t>
      </w:r>
      <w:proofErr w:type="spellEnd"/>
      <w:r w:rsidR="007616B9" w:rsidRPr="007616B9">
        <w:rPr>
          <w:rFonts w:cs="Times New Roman"/>
        </w:rPr>
        <w:t xml:space="preserve"> 2007)</w:t>
      </w:r>
      <w:r w:rsidR="00181612">
        <w:fldChar w:fldCharType="end"/>
      </w:r>
      <w:r w:rsidR="004F6B6D">
        <w:t xml:space="preserve"> (Figure 1b)</w:t>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w:t>
      </w:r>
      <w:r w:rsidR="004F6B6D">
        <w:t>having 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2355277F" w:rsidR="0015698B" w:rsidRDefault="00B24069" w:rsidP="0015698B">
      <w:r>
        <w:t>While well</w:t>
      </w:r>
      <w:r w:rsidR="004F6B6D">
        <w:t xml:space="preserve"> </w:t>
      </w:r>
      <w:r>
        <w:t xml:space="preserve">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15698B">
        <w:t xml:space="preserve">First, within a given amount of energy spent to mature ovules to the point of pollination, there should be a trade-off between pollen-attraction costs per ovule and the number of ovules that are displayed to pollinators (Figure 1b). </w:t>
      </w:r>
      <w:r w:rsidR="00B846EB">
        <w:t xml:space="preserve">Species with higher pollen-attraction costs will </w:t>
      </w:r>
      <w:r w:rsidR="00524161">
        <w:t xml:space="preserve">inevitably </w:t>
      </w:r>
      <w:r w:rsidR="00B846EB">
        <w:t xml:space="preserve">produce fewer ovules. </w:t>
      </w:r>
      <w:r w:rsidR="0015698B">
        <w:t xml:space="preserve">Second, within a given total expenditure on reproduction, there should be a trade-off between seed count and total reproductive costs per seed matured </w:t>
      </w:r>
      <w:commentRangeStart w:id="5"/>
      <w:r w:rsidR="0015698B">
        <w:t>(Figure 1b)</w:t>
      </w:r>
      <w:commentRangeEnd w:id="5"/>
      <w:r w:rsidR="0015698B">
        <w:rPr>
          <w:rStyle w:val="CommentReference"/>
        </w:rPr>
        <w:commentReference w:id="5"/>
      </w:r>
      <w:r w:rsidR="0015698B">
        <w:t xml:space="preserve">. </w:t>
      </w:r>
      <w:r w:rsidR="00550304">
        <w:t xml:space="preserve">This trade-off is </w:t>
      </w:r>
      <w:r w:rsidR="00694609">
        <w:t xml:space="preserve">similar </w:t>
      </w:r>
      <w:r w:rsidR="00550304">
        <w:t xml:space="preserve">to the seed size-seed count trade-off, but includes all </w:t>
      </w:r>
      <w:r w:rsidR="006111CA">
        <w:t xml:space="preserve">of a plants reproductive energy expenditures </w:t>
      </w:r>
      <w:r w:rsidR="00550304">
        <w:t xml:space="preserve">to construct a seed, not just the seed </w:t>
      </w:r>
      <w:r w:rsidR="00C11A83">
        <w:t>mass</w:t>
      </w:r>
      <w:r w:rsidR="00550304">
        <w:t xml:space="preserve"> itself.</w:t>
      </w:r>
      <w:r w:rsidR="009603D7">
        <w:t xml:space="preserve"> 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commentRangeStart w:id="6"/>
      <w:r w:rsidR="0015698B">
        <w:t xml:space="preserve">Species variation in seedset, the ratio of seed count to ovule count, provides the link between these two </w:t>
      </w:r>
      <w:proofErr w:type="gramStart"/>
      <w:r w:rsidR="0015698B">
        <w:t>trade-</w:t>
      </w:r>
      <w:proofErr w:type="gramEnd"/>
      <w:r w:rsidR="0015698B">
        <w:t xml:space="preserve">offs, and is itself one of the axes in the trade-off described below. </w:t>
      </w:r>
      <w:commentRangeEnd w:id="6"/>
      <w:r w:rsidR="0015698B">
        <w:rPr>
          <w:rStyle w:val="CommentReference"/>
        </w:rPr>
        <w:commentReference w:id="6"/>
      </w:r>
    </w:p>
    <w:p w14:paraId="576CB02E" w14:textId="58D056B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94074D">
        <w: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94074D" w:rsidRPr="0094074D">
        <w:rPr>
          <w:rFonts w:cs="Times New Roman"/>
        </w:rPr>
        <w:t xml:space="preserve">(Rosenheim </w:t>
      </w:r>
      <w:r w:rsidR="0094074D" w:rsidRPr="0094074D">
        <w:rPr>
          <w:rFonts w:cs="Times New Roman"/>
          <w:i/>
          <w:iCs/>
        </w:rPr>
        <w:t>et al.</w:t>
      </w:r>
      <w:r w:rsidR="0094074D" w:rsidRPr="0094074D">
        <w:rPr>
          <w:rFonts w:cs="Times New Roman"/>
        </w:rPr>
        <w:t xml:space="preserve"> 2014; </w:t>
      </w:r>
      <w:proofErr w:type="spellStart"/>
      <w:r w:rsidR="0094074D" w:rsidRPr="0094074D">
        <w:rPr>
          <w:rFonts w:cs="Times New Roman"/>
        </w:rPr>
        <w:t>Burd</w:t>
      </w:r>
      <w:proofErr w:type="spellEnd"/>
      <w:r w:rsidR="0094074D" w:rsidRPr="0094074D">
        <w:rPr>
          <w:rFonts w:cs="Times New Roman"/>
        </w:rPr>
        <w:t xml:space="preserve"> 2016; Rosenheim </w:t>
      </w:r>
      <w:r w:rsidR="0094074D" w:rsidRPr="0094074D">
        <w:rPr>
          <w:rFonts w:cs="Times New Roman"/>
          <w:i/>
          <w:iCs/>
        </w:rPr>
        <w:t>et al.</w:t>
      </w:r>
      <w:r w:rsidR="0094074D" w:rsidRPr="0094074D">
        <w:rPr>
          <w:rFonts w:cs="Times New Roman"/>
        </w:rPr>
        <w:t xml:space="preserve">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023D26E4"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w:t>
      </w:r>
      <w:proofErr w:type="spellStart"/>
      <w:r w:rsidR="00181612" w:rsidRPr="00181612">
        <w:rPr>
          <w:rFonts w:cs="Times New Roman"/>
        </w:rPr>
        <w:t>Burd</w:t>
      </w:r>
      <w:proofErr w:type="spellEnd"/>
      <w:r w:rsidR="00181612" w:rsidRPr="00181612">
        <w:rPr>
          <w:rFonts w:cs="Times New Roman"/>
        </w:rPr>
        <w:t xml:space="preserve">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favourable, it will be able to respond with high seed production. </w:t>
      </w:r>
      <w:r w:rsidR="00550304">
        <w:t>Since an optimist</w:t>
      </w:r>
      <w:r w:rsidR="004F6B6D">
        <w:t>, in average years,</w:t>
      </w:r>
      <w:r w:rsidR="00550304">
        <w:t xml:space="preserve">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xml:space="preserve">, </w:t>
      </w:r>
      <w:commentRangeStart w:id="7"/>
      <w:r w:rsidR="00C70B23">
        <w:t>often as a result of pollen limitation</w:t>
      </w:r>
      <w:commentRangeEnd w:id="7"/>
      <w:r w:rsidR="004F6B6D">
        <w:rPr>
          <w:rStyle w:val="CommentReference"/>
        </w:rPr>
        <w:commentReference w:id="7"/>
      </w:r>
      <w:r w:rsidR="00C70B23">
        <w:t>.</w:t>
      </w:r>
      <w:r w:rsidR="00C70B23" w:rsidRPr="003C3342">
        <w:t xml:space="preserve"> </w:t>
      </w:r>
    </w:p>
    <w:p w14:paraId="65F85BB9" w14:textId="4366E854"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favour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Kozlowski &amp; Stearns 1989; </w:t>
      </w:r>
      <w:proofErr w:type="spellStart"/>
      <w:r w:rsidR="00181612" w:rsidRPr="00181612">
        <w:rPr>
          <w:rFonts w:cs="Times New Roman"/>
        </w:rPr>
        <w:t>Guittian</w:t>
      </w:r>
      <w:proofErr w:type="spellEnd"/>
      <w:r w:rsidR="00181612" w:rsidRPr="00181612">
        <w:rPr>
          <w:rFonts w:cs="Times New Roman"/>
        </w:rPr>
        <w:t xml:space="preserve"> 1993; </w:t>
      </w:r>
      <w:proofErr w:type="spellStart"/>
      <w:r w:rsidR="00181612" w:rsidRPr="00181612">
        <w:rPr>
          <w:rFonts w:cs="Times New Roman"/>
        </w:rPr>
        <w:t>Melser</w:t>
      </w:r>
      <w:proofErr w:type="spellEnd"/>
      <w:r w:rsidR="00181612" w:rsidRPr="00181612">
        <w:rPr>
          <w:rFonts w:cs="Times New Roman"/>
        </w:rPr>
        <w:t xml:space="preserve"> &amp; </w:t>
      </w:r>
      <w:proofErr w:type="spellStart"/>
      <w:r w:rsidR="00181612" w:rsidRPr="00181612">
        <w:rPr>
          <w:rFonts w:cs="Times New Roman"/>
        </w:rPr>
        <w:t>Klinkhamer</w:t>
      </w:r>
      <w:proofErr w:type="spellEnd"/>
      <w:r w:rsidR="00181612" w:rsidRPr="00181612">
        <w:rPr>
          <w:rFonts w:cs="Times New Roman"/>
        </w:rPr>
        <w:t xml:space="preserve">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0BC10F31" w14:textId="33C1DE44" w:rsidR="0012287A" w:rsidRDefault="008D5690" w:rsidP="008D5690">
      <w:r>
        <w:t xml:space="preserve">The </w:t>
      </w:r>
      <w:r w:rsidR="006A0EE8">
        <w:t xml:space="preserve">trade-offs </w:t>
      </w:r>
      <w:r>
        <w:t xml:space="preserve">described </w:t>
      </w:r>
      <w:r w:rsidR="000B2E8D">
        <w:t xml:space="preserve">involve </w:t>
      </w:r>
      <w:r w:rsidR="006A0EE8">
        <w:t>different reproductive tissue</w:t>
      </w:r>
      <w:r w:rsidR="000B2E8D">
        <w:t>s</w:t>
      </w:r>
      <w:r w:rsidR="006A0EE8">
        <w:t>, but represent the same r</w:t>
      </w:r>
      <w:r w:rsidR="0067148D">
        <w:t>eproductive strategy continuum</w:t>
      </w:r>
      <w:r>
        <w:t xml:space="preserve">. At one end of the spectrum are species that produce relatively few, </w:t>
      </w:r>
      <w:r w:rsidR="000B2E8D">
        <w:t xml:space="preserve">but </w:t>
      </w:r>
      <w:r>
        <w:t xml:space="preserve">large seeds, and have low seedset. They display greater </w:t>
      </w:r>
      <w:r w:rsidR="000B2E8D">
        <w:t>selectivity</w:t>
      </w:r>
      <w:r w:rsidR="000B2E8D" w:rsidDel="000B2E8D">
        <w:t xml:space="preserve"> </w:t>
      </w:r>
      <w:r>
        <w:t xml:space="preserve">in which zygotes to provision, since they are investing more energy in each offspring and maturing fewer seeds. These species invest </w:t>
      </w:r>
      <w:r w:rsidR="000B2E8D">
        <w:t xml:space="preserve">relatively </w:t>
      </w:r>
      <w:r>
        <w:t>more in seed provisioning and relatively less in pollen attraction</w:t>
      </w:r>
      <w:r w:rsidR="001D74F4">
        <w:t xml:space="preserve"> per ovule</w:t>
      </w:r>
      <w:r>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3E8A4DE3"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w:t>
      </w:r>
      <w:r w:rsidR="00DB0EBC">
        <w:t>1d</w:t>
      </w:r>
      <w:r w:rsidR="00702F29">
        <w:t xml:space="preserve">). </w:t>
      </w:r>
      <w:r w:rsidR="00DB0EBC">
        <w:t>2</w:t>
      </w:r>
      <w:r w:rsidR="001D74F4">
        <w:t>) O</w:t>
      </w:r>
      <w:r w:rsidR="00702F29">
        <w:t xml:space="preserve">nce large-seeded species begin provisioning a zygote they are more likely to successfully create a viable seed, such that the proportion of total provisioning investment allocated to successful tissues versus discarded </w:t>
      </w:r>
      <w:r w:rsidR="00702F29">
        <w:lastRenderedPageBreak/>
        <w:t>tissues</w:t>
      </w:r>
      <w:r w:rsidR="00013152">
        <w:t xml:space="preserve"> should be higher in large-seeded species (Figure 1e). </w:t>
      </w:r>
      <w:r w:rsidR="00DB0EBC">
        <w:t xml:space="preserve">3) With increased seed size, species spend a decreasing proportion of their success costs on pollen-attraction costs, as they are expected to produce a large number of inexpensive ovules (Figure 1f).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w:t>
      </w:r>
      <w:r>
        <w:lastRenderedPageBreak/>
        <w:t xml:space="preserve">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w:t>
      </w:r>
      <w:proofErr w:type="spellStart"/>
      <w:r w:rsidR="00181612" w:rsidRPr="00181612">
        <w:rPr>
          <w:rFonts w:cs="Times New Roman"/>
        </w:rPr>
        <w:t>Kodela</w:t>
      </w:r>
      <w:proofErr w:type="spellEnd"/>
      <w:r w:rsidR="00181612" w:rsidRPr="00181612">
        <w:rPr>
          <w:rFonts w:cs="Times New Roman"/>
        </w:rPr>
        <w:t xml:space="preserve">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lastRenderedPageBreak/>
        <w:t>Field measurements</w:t>
      </w:r>
    </w:p>
    <w:p w14:paraId="45179DB5" w14:textId="3BBBB8CD"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7512524E"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 xml:space="preserve">was quite variable. The exact flowering parts considered varied considerably by species </w:t>
      </w:r>
      <w:r w:rsidRPr="003C3342">
        <w:lastRenderedPageBreak/>
        <w:t>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870C99E"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w:t>
      </w:r>
      <w:r>
        <w:lastRenderedPageBreak/>
        <w:t xml:space="preserve">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00E95B48"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2F7FD130"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lastRenderedPageBreak/>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w:t>
      </w:r>
      <w:r w:rsidR="004B2A69">
        <w:lastRenderedPageBreak/>
        <w:t xml:space="preserve">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319C3DE3"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one</w:t>
      </w:r>
      <w:r w:rsidR="00153A17">
        <w:t xml:space="preserv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t>Correlates with total reproductive investment</w:t>
      </w:r>
    </w:p>
    <w:p w14:paraId="1FD9F66F" w14:textId="2D09918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lastRenderedPageBreak/>
        <w:t>investment was only rather loosely correlated with total reproductive investment, both within and across species (</w:t>
      </w:r>
      <w:r w:rsidR="00514CFB" w:rsidRPr="003C3342">
        <w:t>Table</w:t>
      </w:r>
      <w:del w:id="8" w:author="Dr Elizabeth Wenk " w:date="2016-12-16T09:44:00Z">
        <w:r w:rsidR="00514CFB" w:rsidRPr="003C3342" w:rsidDel="00153A17">
          <w:delText>s</w:delText>
        </w:r>
      </w:del>
      <w:r w:rsidR="00514CFB" w:rsidRPr="003C3342">
        <w:t xml:space="preserv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67DFF04A"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w:t>
      </w:r>
      <w:del w:id="9" w:author="Dr Elizabeth Wenk " w:date="2016-12-16T09:44:00Z">
        <w:r w:rsidRPr="003C3342" w:rsidDel="00153A17">
          <w:delText xml:space="preserve">note that </w:delText>
        </w:r>
      </w:del>
      <w:r w:rsidRPr="003C3342">
        <w:t xml:space="preserve">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del w:id="10" w:author="Dr Elizabeth Wenk " w:date="2016-12-16T09:44:00Z">
        <w:r w:rsidRPr="003C3342" w:rsidDel="00153A17">
          <w:delText xml:space="preserve">just </w:delText>
        </w:r>
      </w:del>
      <w:ins w:id="11" w:author="Dr Elizabeth Wenk " w:date="2016-12-16T09:44:00Z">
        <w:r w:rsidR="00153A17">
          <w:t xml:space="preserve">only </w:t>
        </w:r>
      </w:ins>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del w:id="12" w:author="Dr Elizabeth Wenk " w:date="2016-12-16T09:44:00Z">
        <w:r w:rsidRPr="003C3342" w:rsidDel="00153A17">
          <w:delText xml:space="preserve">because </w:delText>
        </w:r>
      </w:del>
      <w:r w:rsidR="009A035F">
        <w:t>discarded</w:t>
      </w:r>
      <w:r w:rsidRPr="003C3342">
        <w:t xml:space="preserve"> tissues accounted for </w:t>
      </w:r>
      <w:r w:rsidR="00E24109">
        <w:t>73</w:t>
      </w:r>
      <w:r w:rsidRPr="003C3342">
        <w:t xml:space="preserve">% of total reproductive investment; and second, </w:t>
      </w:r>
      <w:del w:id="13" w:author="Dr Elizabeth Wenk " w:date="2016-12-16T09:44:00Z">
        <w:r w:rsidRPr="003C3342" w:rsidDel="00153A17">
          <w:delText xml:space="preserve">because </w:delText>
        </w:r>
      </w:del>
      <w:r w:rsidRPr="003C3342">
        <w:t xml:space="preserve">energy investment into buds and flowers was more predictable, while further </w:t>
      </w:r>
      <w:r w:rsidR="006341A0" w:rsidRPr="003C3342">
        <w:t>filtering processes occur</w:t>
      </w:r>
      <w:ins w:id="14" w:author="Dr Elizabeth Wenk " w:date="2016-12-16T09:45:00Z">
        <w:r w:rsidR="00153A17">
          <w:t>red</w:t>
        </w:r>
      </w:ins>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lastRenderedPageBreak/>
        <w:t>Discussion</w:t>
      </w:r>
    </w:p>
    <w:p w14:paraId="7193C9ED" w14:textId="7C9EEF2D" w:rsidR="006751DC" w:rsidRPr="003C3342" w:rsidRDefault="006751DC" w:rsidP="006751DC">
      <w:r>
        <w:t xml:space="preserve">There were four key outcomes from this study. First, these long-lived perennial plants expended a </w:t>
      </w:r>
      <w:r>
        <w:t xml:space="preserve">very large </w:t>
      </w:r>
      <w:r>
        <w:t xml:space="preserve">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there existed 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In combination, these trade-offs lead to systematic differences in the way energy is allocated across species, our third outcome. 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777777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xml:space="preserve">, leading to potentially misleading results (reviewed in </w:t>
      </w:r>
      <w:proofErr w:type="spellStart"/>
      <w:r>
        <w:t>Obeso</w:t>
      </w:r>
      <w:proofErr w:type="spellEnd"/>
      <w:r>
        <w:t xml:space="preserve"> 2002; </w:t>
      </w:r>
      <w:proofErr w:type="gramStart"/>
      <w:r>
        <w:t>Lord &amp;</w:t>
      </w:r>
      <w:proofErr w:type="gramEnd"/>
      <w:r>
        <w:t xml:space="preserve"> Westoby 2006; Rosenheim et al. 2014; Wenk &amp; Falster 2015)</w:t>
      </w:r>
      <w:r w:rsidRPr="003C3342">
        <w:t>.</w:t>
      </w:r>
      <w:r>
        <w:t xml:space="preserve"> For example, </w:t>
      </w:r>
      <w:r w:rsidRPr="003C3342">
        <w:t xml:space="preserve">studies seeking to estimate the cost of reproduction may reach erroneous conclusions </w:t>
      </w:r>
      <w:r w:rsidRPr="003C3342">
        <w:lastRenderedPageBreak/>
        <w:t>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w:t>
      </w:r>
      <w:proofErr w:type="spellStart"/>
      <w:r w:rsidRPr="0094074D">
        <w:rPr>
          <w:rFonts w:cs="Times New Roman"/>
        </w:rPr>
        <w:t>Obeso</w:t>
      </w:r>
      <w:proofErr w:type="spellEnd"/>
      <w:r w:rsidRPr="0094074D">
        <w:rPr>
          <w:rFonts w:cs="Times New Roman"/>
        </w:rPr>
        <w:t xml:space="preserve">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 xml:space="preserve">(Ashman 1994; </w:t>
      </w:r>
      <w:proofErr w:type="spellStart"/>
      <w:r w:rsidRPr="00181612">
        <w:rPr>
          <w:rFonts w:cs="Times New Roman"/>
        </w:rPr>
        <w:t>Bazzaz</w:t>
      </w:r>
      <w:proofErr w:type="spellEnd"/>
      <w:r w:rsidRPr="00181612">
        <w:rPr>
          <w:rFonts w:cs="Times New Roman"/>
        </w:rPr>
        <w:t xml:space="preserve">, </w:t>
      </w:r>
      <w:proofErr w:type="spellStart"/>
      <w:r w:rsidRPr="00181612">
        <w:rPr>
          <w:rFonts w:cs="Times New Roman"/>
        </w:rPr>
        <w:t>Ackerly</w:t>
      </w:r>
      <w:proofErr w:type="spellEnd"/>
      <w:r w:rsidRPr="00181612">
        <w:rPr>
          <w:rFonts w:cs="Times New Roman"/>
        </w:rPr>
        <w:t xml:space="preserve"> &amp; </w:t>
      </w:r>
      <w:proofErr w:type="spellStart"/>
      <w:r w:rsidRPr="00181612">
        <w:rPr>
          <w:rFonts w:cs="Times New Roman"/>
        </w:rPr>
        <w:t>Reekie</w:t>
      </w:r>
      <w:proofErr w:type="spellEnd"/>
      <w:r w:rsidRPr="00181612">
        <w:rPr>
          <w:rFonts w:cs="Times New Roman"/>
        </w:rPr>
        <w:t xml:space="preserv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 since both discarded tissue costs and success cost components (see Figure 1a for definitions) contributed to the high accessory costs (Table 1).</w:t>
      </w:r>
    </w:p>
    <w:p w14:paraId="4C9C3188" w14:textId="77777777" w:rsidR="006751DC" w:rsidRDefault="006751DC" w:rsidP="006751DC">
      <w:r>
        <w:t xml:space="preserve">The study species have diverse floral and fruiting structures, such that disparate tissues comprise success cost expenditures in different species </w:t>
      </w:r>
      <w:r w:rsidRPr="003C3342">
        <w:t>(Figure 1</w:t>
      </w:r>
      <w:r>
        <w:t>a</w:t>
      </w:r>
      <w:r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maximize seed production and survival.</w:t>
      </w:r>
      <w:r w:rsidRPr="003C3342">
        <w:t xml:space="preserve"> </w:t>
      </w:r>
    </w:p>
    <w:p w14:paraId="1F251C54" w14:textId="77777777"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w:t>
      </w:r>
      <w:r w:rsidRPr="003C3342">
        <w:lastRenderedPageBreak/>
        <w:t xml:space="preserve">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77777777" w:rsidR="006751DC" w:rsidRDefault="006751DC" w:rsidP="006751DC">
      <w:r w:rsidRPr="00F34B6D">
        <w:t>These high acce</w:t>
      </w:r>
      <w:r>
        <w:t xml:space="preserve">ssory costs, and in </w:t>
      </w:r>
      <w:proofErr w:type="gramStart"/>
      <w:r>
        <w:t xml:space="preserve">particular </w:t>
      </w:r>
      <w:r w:rsidRPr="00F34B6D">
        <w:t xml:space="preserve"> high</w:t>
      </w:r>
      <w:proofErr w:type="gramEnd"/>
      <w:r w:rsidRPr="00F34B6D">
        <w:t xml:space="preserve"> discarded costs, should presumably be considered a cost of sex. That is, the only reason for incurring them would be in order to create zygote genomes that conferred superior fitness, compared to zygotes created by </w:t>
      </w:r>
      <w:proofErr w:type="spellStart"/>
      <w:r w:rsidRPr="00F34B6D">
        <w:t>selfing</w:t>
      </w:r>
      <w:proofErr w:type="spellEnd"/>
      <w:r w:rsidRPr="00F34B6D">
        <w:t xml:space="preserve"> or </w:t>
      </w:r>
      <w:proofErr w:type="spellStart"/>
      <w:r w:rsidRPr="00F34B6D">
        <w:t>apomixis</w:t>
      </w:r>
      <w:proofErr w:type="spellEnd"/>
      <w:r w:rsidRPr="00F34B6D">
        <w:t xml:space="preserve">.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w:t>
      </w:r>
      <w:proofErr w:type="spellStart"/>
      <w:r w:rsidRPr="00F34B6D">
        <w:rPr>
          <w:rFonts w:cs="Times New Roman"/>
        </w:rPr>
        <w:t>Ruane</w:t>
      </w:r>
      <w:proofErr w:type="spellEnd"/>
      <w:r w:rsidRPr="00F34B6D">
        <w:rPr>
          <w:rFonts w:cs="Times New Roman"/>
        </w:rPr>
        <w:t xml:space="preserve">, </w:t>
      </w:r>
      <w:proofErr w:type="spellStart"/>
      <w:r w:rsidRPr="00F34B6D">
        <w:rPr>
          <w:rFonts w:cs="Times New Roman"/>
        </w:rPr>
        <w:t>Rotzin</w:t>
      </w:r>
      <w:proofErr w:type="spellEnd"/>
      <w:r w:rsidRPr="00F34B6D">
        <w:rPr>
          <w:rFonts w:cs="Times New Roman"/>
        </w:rPr>
        <w:t xml:space="preserve"> &amp; Congleton 2014)</w:t>
      </w:r>
      <w:r w:rsidRPr="00F34B6D">
        <w:fldChar w:fldCharType="end"/>
      </w:r>
      <w:r w:rsidRPr="00F34B6D">
        <w:t>. Additional zygotes will be lost during the provisioning period due to factors including insect attack and poor environmental conditions.</w:t>
      </w:r>
    </w:p>
    <w:p w14:paraId="74B66409" w14:textId="77777777" w:rsidR="006751DC" w:rsidRPr="003C3342" w:rsidRDefault="006751DC" w:rsidP="006751DC">
      <w:r w:rsidRPr="003C3342">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77777777" w:rsidR="00FF1706" w:rsidRDefault="00FF1706" w:rsidP="00FF1706">
      <w:pPr>
        <w:pStyle w:val="Heading2"/>
      </w:pPr>
      <w:r>
        <w:t>Count-cost and choosiness-cost trade-offs observed</w:t>
      </w:r>
    </w:p>
    <w:p w14:paraId="26374A29" w14:textId="77777777" w:rsidR="00FF1706" w:rsidRDefault="00FF1706" w:rsidP="00FF1706">
      <w:pPr>
        <w:rPr>
          <w:color w:val="000000" w:themeColor="text1"/>
        </w:rPr>
      </w:pPr>
      <w:r>
        <w:t xml:space="preserve">The first two trade-offs identified in the introduction describe </w:t>
      </w:r>
      <w:commentRangeStart w:id="15"/>
      <w:r>
        <w:t xml:space="preserve">how a given pool of </w:t>
      </w:r>
      <w:proofErr w:type="gramStart"/>
      <w:r>
        <w:t>energy  can</w:t>
      </w:r>
      <w:proofErr w:type="gramEnd"/>
      <w:r>
        <w:t xml:space="preserve"> </w:t>
      </w:r>
      <w:commentRangeEnd w:id="15"/>
      <w:r>
        <w:rPr>
          <w:rStyle w:val="CommentReference"/>
        </w:rPr>
        <w:commentReference w:id="15"/>
      </w:r>
      <w:r>
        <w:t xml:space="preserve">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w:t>
      </w:r>
      <w:proofErr w:type="spellStart"/>
      <w:r w:rsidRPr="007616B9">
        <w:rPr>
          <w:rFonts w:cs="Times New Roman"/>
        </w:rPr>
        <w:t>Fretwell</w:t>
      </w:r>
      <w:proofErr w:type="spellEnd"/>
      <w:r w:rsidRPr="007616B9">
        <w:rPr>
          <w:rFonts w:cs="Times New Roman"/>
        </w:rPr>
        <w:t xml:space="preserve"> 1974; Moles </w:t>
      </w:r>
      <w:r w:rsidRPr="007616B9">
        <w:rPr>
          <w:rFonts w:cs="Times New Roman"/>
          <w:i/>
          <w:iCs/>
        </w:rPr>
        <w:t>et al.</w:t>
      </w:r>
      <w:r w:rsidRPr="007616B9">
        <w:rPr>
          <w:rFonts w:cs="Times New Roman"/>
        </w:rPr>
        <w:t xml:space="preserve"> 2004; </w:t>
      </w:r>
      <w:proofErr w:type="spellStart"/>
      <w:r w:rsidRPr="007616B9">
        <w:rPr>
          <w:rFonts w:cs="Times New Roman"/>
        </w:rPr>
        <w:t>Sadras</w:t>
      </w:r>
      <w:proofErr w:type="spellEnd"/>
      <w:r w:rsidRPr="007616B9">
        <w:rPr>
          <w:rFonts w:cs="Times New Roman"/>
        </w:rPr>
        <w:t xml:space="preserve"> 2007)</w:t>
      </w:r>
      <w:r>
        <w:fldChar w:fldCharType="end"/>
      </w:r>
      <w:r>
        <w:t xml:space="preserve"> and here we extend the theory to include two trade-offs that account for the significant accessory costs required for seed production. The first is the ovule count-pollen-attraction costs trade-off, suggesting that the pool of energy plants have to allocate to construct flowers to the point of pollination and may be divided into fewer showier flowers or into more numerous but cheaper flowers </w:t>
      </w:r>
      <w:commentRangeStart w:id="16"/>
      <w:r>
        <w:t>(###refs)</w:t>
      </w:r>
      <w:commentRangeEnd w:id="16"/>
      <w:r>
        <w:rPr>
          <w:rStyle w:val="CommentReference"/>
        </w:rPr>
        <w:commentReference w:id="16"/>
      </w:r>
      <w:r>
        <w:t>. The second trade-off is between seed count and total reproductive c</w:t>
      </w:r>
      <w:commentRangeStart w:id="17"/>
      <w:r>
        <w:t xml:space="preserve">osts, closely related to the well-established seed size-seed count trade-off, </w:t>
      </w:r>
      <w:proofErr w:type="spellStart"/>
      <w:r>
        <w:t>demonstratingthat</w:t>
      </w:r>
      <w:proofErr w:type="spellEnd"/>
      <w:r>
        <w:t xml:space="preserve"> large-seede</w:t>
      </w:r>
      <w:commentRangeEnd w:id="17"/>
      <w:r>
        <w:rPr>
          <w:rStyle w:val="CommentReference"/>
        </w:rPr>
        <w:commentReference w:id="17"/>
      </w:r>
      <w:r>
        <w:t xml:space="preserve">d </w:t>
      </w:r>
      <w:r>
        <w:lastRenderedPageBreak/>
        <w:t xml:space="preserve">species are those species with high overall per seed reproductive costs and low seed counts </w:t>
      </w:r>
      <w:r w:rsidRPr="00287E7D">
        <w:rPr>
          <w:color w:val="000000" w:themeColor="text1"/>
        </w:rPr>
        <w:fldChar w:fldCharType="begin"/>
      </w:r>
      <w:r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 xml:space="preserve">(Smith &amp; </w:t>
      </w:r>
      <w:proofErr w:type="spellStart"/>
      <w:r w:rsidRPr="00181612">
        <w:rPr>
          <w:rFonts w:cs="Times New Roman"/>
        </w:rPr>
        <w:t>Fretwell</w:t>
      </w:r>
      <w:proofErr w:type="spellEnd"/>
      <w:r w:rsidRPr="00181612">
        <w:rPr>
          <w:rFonts w:cs="Times New Roman"/>
        </w:rPr>
        <w:t xml:space="preserve"> 1974; Rees &amp; Westoby 1997; Moles &amp; Westoby 2006)</w:t>
      </w:r>
      <w:r w:rsidRPr="00287E7D">
        <w:rPr>
          <w:color w:val="000000" w:themeColor="text1"/>
        </w:rPr>
        <w:fldChar w:fldCharType="end"/>
      </w:r>
      <w:r w:rsidRPr="00287E7D">
        <w:rPr>
          <w:color w:val="000000" w:themeColor="text1"/>
        </w:rP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 xml:space="preserve">(Westoby &amp; Rice 1982; </w:t>
      </w:r>
      <w:proofErr w:type="spellStart"/>
      <w:r w:rsidRPr="000765E8">
        <w:rPr>
          <w:rFonts w:cs="Times New Roman"/>
        </w:rPr>
        <w:t>Willson</w:t>
      </w:r>
      <w:proofErr w:type="spellEnd"/>
      <w:r w:rsidRPr="000765E8">
        <w:rPr>
          <w:rFonts w:cs="Times New Roman"/>
        </w:rPr>
        <w:t xml:space="preserve"> &amp; Burley 1983; Sutherland 1986; </w:t>
      </w:r>
      <w:proofErr w:type="spellStart"/>
      <w:r w:rsidRPr="000765E8">
        <w:rPr>
          <w:rFonts w:cs="Times New Roman"/>
        </w:rPr>
        <w:t>Guittian</w:t>
      </w:r>
      <w:proofErr w:type="spellEnd"/>
      <w:r w:rsidRPr="000765E8">
        <w:rPr>
          <w:rFonts w:cs="Times New Roman"/>
        </w:rPr>
        <w:t xml:space="preserve">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t>
      </w:r>
      <w:proofErr w:type="spellStart"/>
      <w:r w:rsidRPr="00181612">
        <w:rPr>
          <w:rFonts w:cs="Times New Roman"/>
        </w:rPr>
        <w:t>Willson</w:t>
      </w:r>
      <w:proofErr w:type="spellEnd"/>
      <w:r w:rsidRPr="00181612">
        <w:rPr>
          <w:rFonts w:cs="Times New Roman"/>
        </w:rPr>
        <w:t xml:space="preserve"> &amp; Burley 1983; Sutherland 1986; </w:t>
      </w:r>
      <w:proofErr w:type="spellStart"/>
      <w:r w:rsidRPr="00181612">
        <w:rPr>
          <w:rFonts w:cs="Times New Roman"/>
        </w:rPr>
        <w:t>Guittian</w:t>
      </w:r>
      <w:proofErr w:type="spellEnd"/>
      <w:r w:rsidRPr="00181612">
        <w:rPr>
          <w:rFonts w:cs="Times New Roman"/>
        </w:rPr>
        <w:t xml:space="preserve">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77777777" w:rsidR="00FF1706" w:rsidRDefault="00FF1706" w:rsidP="00FF1706">
      <w:r>
        <w:t xml:space="preserve">Together, the three trade-offs predict a single axis of variation in reproductive strategies, showing how species exhibit coordinated shifts in resource allocation.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 In the event the first and third of the predicted shifts in tissue </w:t>
      </w:r>
      <w:r>
        <w:lastRenderedPageBreak/>
        <w:t xml:space="preserve">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w:t>
      </w:r>
      <w:proofErr w:type="gramStart"/>
      <w:r>
        <w:rPr>
          <w:color w:val="000000" w:themeColor="text1"/>
        </w:rPr>
        <w:t>Lord &amp;</w:t>
      </w:r>
      <w:proofErr w:type="gramEnd"/>
      <w:r>
        <w:rPr>
          <w:color w:val="000000" w:themeColor="text1"/>
        </w:rPr>
        <w:t xml:space="preserve">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77777777" w:rsidR="00FF1706" w:rsidRDefault="00FF1706" w:rsidP="00FF1706">
      <w:pPr>
        <w:rPr>
          <w:color w:val="000000" w:themeColor="text1"/>
        </w:rPr>
      </w:pPr>
      <w:r w:rsidRPr="009972A0">
        <w:lastRenderedPageBreak/>
        <w:t xml:space="preserve">In this study, </w:t>
      </w:r>
      <w:commentRangeStart w:id="18"/>
      <w:r w:rsidRPr="009972A0">
        <w:t>total reproductive costs</w:t>
      </w:r>
      <w:commentRangeEnd w:id="18"/>
      <w:r>
        <w:rPr>
          <w:rStyle w:val="CommentReference"/>
        </w:rPr>
        <w:commentReference w:id="18"/>
      </w:r>
      <w:r w:rsidRPr="009972A0">
        <w:t xml:space="preserve">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w:t>
      </w:r>
      <w:commentRangeStart w:id="19"/>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Pr="0094074D">
        <w:rPr>
          <w:rFonts w:cs="Times New Roman"/>
        </w:rPr>
        <w:t>(</w:t>
      </w:r>
      <w:proofErr w:type="spellStart"/>
      <w:r w:rsidRPr="0094074D">
        <w:rPr>
          <w:rFonts w:cs="Times New Roman"/>
        </w:rPr>
        <w:t>Henery</w:t>
      </w:r>
      <w:proofErr w:type="spellEnd"/>
      <w:r w:rsidRPr="0094074D">
        <w:rPr>
          <w:rFonts w:cs="Times New Roman"/>
        </w:rPr>
        <w:t xml:space="preserve"> &amp; Westoby 2001; Moles, Warton &amp; Westoby 2003; Lord &amp; Westoby 2006; Chen </w:t>
      </w:r>
      <w:r w:rsidRPr="0094074D">
        <w:rPr>
          <w:rFonts w:cs="Times New Roman"/>
          <w:i/>
          <w:iCs/>
        </w:rPr>
        <w:t>et al.</w:t>
      </w:r>
      <w:r w:rsidRPr="0094074D">
        <w:rPr>
          <w:rFonts w:cs="Times New Roman"/>
        </w:rPr>
        <w:t xml:space="preserve"> 2010; Lord &amp; Westoby 2012)</w:t>
      </w:r>
      <w:r>
        <w:rPr>
          <w:rFonts w:cs="Times New Roman"/>
        </w:rPr>
        <w:fldChar w:fldCharType="end"/>
      </w:r>
      <w:commentRangeEnd w:id="19"/>
      <w:r>
        <w:rPr>
          <w:rStyle w:val="CommentReference"/>
        </w:rPr>
        <w:commentReference w:id="19"/>
      </w:r>
      <w:r>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xml:space="preserve">, </w:t>
      </w:r>
      <w:commentRangeStart w:id="20"/>
      <w:r w:rsidRPr="009972A0">
        <w:rPr>
          <w:color w:val="000000" w:themeColor="text1"/>
        </w:rPr>
        <w:t>all seed sizes are equally cost</w:t>
      </w:r>
      <w:r>
        <w:rPr>
          <w:color w:val="000000" w:themeColor="text1"/>
        </w:rPr>
        <w:t>ly</w:t>
      </w:r>
      <w:r w:rsidRPr="009972A0">
        <w:rPr>
          <w:color w:val="000000" w:themeColor="text1"/>
        </w:rPr>
        <w:t xml:space="preserve"> to produce</w:t>
      </w:r>
      <w:commentRangeEnd w:id="20"/>
      <w:r>
        <w:rPr>
          <w:rStyle w:val="CommentReference"/>
        </w:rPr>
        <w:commentReference w:id="20"/>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w:t>
      </w:r>
      <w:proofErr w:type="spellStart"/>
      <w:r w:rsidRPr="00181612">
        <w:rPr>
          <w:rFonts w:cs="Times New Roman"/>
        </w:rPr>
        <w:t>Mironchenko</w:t>
      </w:r>
      <w:proofErr w:type="spellEnd"/>
      <w:r w:rsidRPr="00181612">
        <w:rPr>
          <w:rFonts w:cs="Times New Roman"/>
        </w:rPr>
        <w:t xml:space="preserve"> &amp; </w:t>
      </w:r>
      <w:proofErr w:type="spellStart"/>
      <w:r w:rsidRPr="00181612">
        <w:rPr>
          <w:rFonts w:cs="Times New Roman"/>
        </w:rPr>
        <w:t>Kozłowski</w:t>
      </w:r>
      <w:proofErr w:type="spellEnd"/>
      <w:r w:rsidRPr="00181612">
        <w:rPr>
          <w:rFonts w:cs="Times New Roman"/>
        </w:rPr>
        <w:t xml:space="preserve"> 2014)</w:t>
      </w:r>
      <w:r w:rsidRPr="009972A0">
        <w:rPr>
          <w:color w:val="000000" w:themeColor="text1"/>
        </w:rPr>
        <w:fldChar w:fldCharType="end"/>
      </w:r>
      <w:r>
        <w:rPr>
          <w:color w:val="000000" w:themeColor="text1"/>
        </w:rPr>
        <w:t xml:space="preserve">. Our result suggests that among our study species </w:t>
      </w:r>
      <w:r w:rsidRPr="009972A0">
        <w:rPr>
          <w:color w:val="000000" w:themeColor="text1"/>
        </w:rPr>
        <w:t xml:space="preserve">there are </w:t>
      </w:r>
      <w:r>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150A0883" w14:textId="77777777" w:rsidR="00FF1706" w:rsidRDefault="00FF1706" w:rsidP="00FF1706">
      <w:pPr>
        <w:pStyle w:val="Heading2"/>
      </w:pPr>
      <w:r w:rsidRPr="003C3342">
        <w:t>Shifts in accessory costs with plant size and age</w:t>
      </w:r>
    </w:p>
    <w:p w14:paraId="3CF54E4D" w14:textId="77777777"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 xml:space="preserve">(Myers &amp; Doyle 1983; </w:t>
      </w:r>
      <w:proofErr w:type="spellStart"/>
      <w:r w:rsidRPr="00181612">
        <w:rPr>
          <w:rFonts w:cs="Times New Roman"/>
        </w:rPr>
        <w:t>Sibly</w:t>
      </w:r>
      <w:proofErr w:type="spellEnd"/>
      <w:r w:rsidRPr="00181612">
        <w:rPr>
          <w:rFonts w:cs="Times New Roman"/>
        </w:rPr>
        <w:t xml:space="preserve">, </w:t>
      </w:r>
      <w:proofErr w:type="spellStart"/>
      <w:r w:rsidRPr="00181612">
        <w:rPr>
          <w:rFonts w:cs="Times New Roman"/>
        </w:rPr>
        <w:t>Calow</w:t>
      </w:r>
      <w:proofErr w:type="spellEnd"/>
      <w:r w:rsidRPr="00181612">
        <w:rPr>
          <w:rFonts w:cs="Times New Roman"/>
        </w:rPr>
        <w:t xml:space="preserve"> &amp; Nichols 1985; </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current RE</w:t>
      </w:r>
      <w:r>
        <w:rPr>
          <w:rStyle w:val="CommentReference"/>
        </w:rPr>
        <w:commentReference w:id="21"/>
      </w:r>
      <w:r>
        <w:t xml:space="preserv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 xml:space="preserve">(Kelly 1994; Kelly &amp; </w:t>
      </w:r>
      <w:proofErr w:type="spellStart"/>
      <w:r w:rsidRPr="00B110BA">
        <w:rPr>
          <w:rFonts w:cs="Times New Roman"/>
        </w:rPr>
        <w:t>Sork</w:t>
      </w:r>
      <w:proofErr w:type="spellEnd"/>
      <w:r w:rsidRPr="00B110BA">
        <w:rPr>
          <w:rFonts w:cs="Times New Roman"/>
        </w:rPr>
        <w:t xml:space="preserve">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t>Supplementary Material</w:t>
      </w:r>
      <w:r w:rsidRPr="003C3342">
        <w:t xml:space="preserve">). The consistent lack of shift in per seed accessory costs (or seedset, data not shown) with RE (or bud count, data not shown) </w:t>
      </w:r>
      <w:r>
        <w:t>surprised us</w:t>
      </w:r>
      <w:r w:rsidRPr="003C3342">
        <w:t xml:space="preserve">. There is a </w:t>
      </w:r>
      <w:commentRangeStart w:id="22"/>
      <w:r w:rsidRPr="003C3342">
        <w:t>large literature</w:t>
      </w:r>
      <w:commentRangeEnd w:id="22"/>
      <w:r>
        <w:rPr>
          <w:rStyle w:val="CommentReference"/>
        </w:rPr>
        <w:commentReference w:id="22"/>
      </w:r>
      <w:r w:rsidRPr="003C3342">
        <w:t xml:space="preserve"> on </w:t>
      </w:r>
      <w:r w:rsidRPr="003C3342">
        <w:lastRenderedPageBreak/>
        <w:t xml:space="preserve">expected and observed trends in pollination and seedset with the size of the floral display, </w:t>
      </w:r>
      <w:r>
        <w:t>showing</w:t>
      </w:r>
      <w:r w:rsidRPr="003C3342">
        <w:t xml:space="preserve"> </w:t>
      </w:r>
      <w:r>
        <w:t>varied</w:t>
      </w:r>
      <w:r w:rsidRPr="003C3342">
        <w:t xml:space="preserve"> patterns, but </w:t>
      </w:r>
      <w:r>
        <w:t xml:space="preserve">the literature had not led us to expect </w:t>
      </w:r>
      <w:r w:rsidRPr="003C3342">
        <w:t>a flat relationship for 13 of 14 species</w:t>
      </w:r>
      <w:r>
        <w:t xml:space="preserve"> </w:t>
      </w:r>
      <w:r w:rsidRPr="003C3342">
        <w:t>(</w:t>
      </w:r>
      <w:r>
        <w:t>Supplementary Material</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77777777" w:rsidR="00FF1706" w:rsidRDefault="00FF1706" w:rsidP="00FF1706">
      <w:r w:rsidRPr="003C3342">
        <w:t xml:space="preserve">Realistic estimates of </w:t>
      </w:r>
      <w:r>
        <w:t xml:space="preserve">RE </w:t>
      </w:r>
      <w:r w:rsidRPr="003C3342">
        <w:t xml:space="preserve">are essential </w:t>
      </w:r>
      <w:r>
        <w:t>for many research questions: 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w:t>
      </w:r>
      <w:proofErr w:type="spellStart"/>
      <w:r w:rsidRPr="00181612">
        <w:rPr>
          <w:rFonts w:cs="Times New Roman"/>
        </w:rPr>
        <w:t>Scheiter</w:t>
      </w:r>
      <w:proofErr w:type="spellEnd"/>
      <w:r w:rsidRPr="00181612">
        <w:rPr>
          <w:rFonts w:cs="Times New Roman"/>
        </w:rPr>
        <w:t xml:space="preserve">, </w:t>
      </w:r>
      <w:proofErr w:type="spellStart"/>
      <w:r w:rsidRPr="00181612">
        <w:rPr>
          <w:rFonts w:cs="Times New Roman"/>
        </w:rPr>
        <w:t>Langan</w:t>
      </w:r>
      <w:proofErr w:type="spellEnd"/>
      <w:r w:rsidRPr="00181612">
        <w:rPr>
          <w:rFonts w:cs="Times New Roman"/>
        </w:rPr>
        <w:t xml:space="preserve">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w:t>
      </w:r>
      <w:proofErr w:type="spellStart"/>
      <w:r w:rsidRPr="00181612">
        <w:rPr>
          <w:rFonts w:cs="Times New Roman"/>
        </w:rPr>
        <w:t>Ehrlen</w:t>
      </w:r>
      <w:proofErr w:type="spellEnd"/>
      <w:r w:rsidRPr="00181612">
        <w:rPr>
          <w:rFonts w:cs="Times New Roman"/>
        </w:rPr>
        <w:t xml:space="preserve"> 2002; Miller </w:t>
      </w:r>
      <w:r w:rsidRPr="00181612">
        <w:rPr>
          <w:rFonts w:cs="Times New Roman"/>
          <w:i/>
          <w:iCs/>
        </w:rPr>
        <w:t>et al.</w:t>
      </w:r>
      <w:r w:rsidRPr="00181612">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63FC392" w14:textId="77777777" w:rsidR="00FF1706" w:rsidRPr="003C3342"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w:t>
      </w:r>
      <w:r w:rsidRPr="003C3342">
        <w:lastRenderedPageBreak/>
        <w:t>a single point in time</w:t>
      </w:r>
      <w:r>
        <w:t xml:space="preserve">. Doing a </w:t>
      </w:r>
      <w:r w:rsidRPr="003C3342">
        <w:t xml:space="preserve">single bud count and determining flower weight for the species </w:t>
      </w:r>
      <w:r>
        <w:t xml:space="preserve">would be </w:t>
      </w:r>
      <w:r w:rsidRPr="003C3342">
        <w:t>a manageable prospect.</w:t>
      </w:r>
      <w:r>
        <w:t xml:space="preserve"> </w:t>
      </w:r>
      <w:r w:rsidRPr="003C3342">
        <w:t xml:space="preserve">These results conversely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Pr="00181612">
        <w:rPr>
          <w:rFonts w:cs="Times New Roman"/>
        </w:rPr>
        <w:t>(Shipley &amp; Dion 1992)</w:t>
      </w:r>
      <w:r>
        <w:fldChar w:fldCharType="end"/>
      </w:r>
      <w:r>
        <w:t xml:space="preserve">, seed count or seed investment </w:t>
      </w:r>
      <w:commentRangeStart w:id="23"/>
      <w:r>
        <w:t>must be measured at the individual level</w:t>
      </w:r>
      <w:commentRangeEnd w:id="23"/>
      <w:r>
        <w:rPr>
          <w:rStyle w:val="CommentReference"/>
        </w:rPr>
        <w:commentReference w:id="23"/>
      </w:r>
      <w:r>
        <w:t xml:space="preserve"> for perennial species with relatively low seedset</w:t>
      </w:r>
      <w:r w:rsidRPr="003C3342">
        <w:t>.</w:t>
      </w:r>
    </w:p>
    <w:p w14:paraId="473E7F72" w14:textId="77777777"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Therefore, although the number of</w:t>
      </w:r>
      <w:commentRangeStart w:id="24"/>
      <w:r w:rsidRPr="003C3342">
        <w:t xml:space="preserve"> initiated buds is well-predicted by plant size (for most species) </w:t>
      </w:r>
      <w:commentRangeEnd w:id="24"/>
      <w:r>
        <w:rPr>
          <w:rStyle w:val="CommentReference"/>
        </w:rPr>
        <w:commentReference w:id="24"/>
      </w:r>
      <w:r w:rsidRPr="003C3342">
        <w:t xml:space="preserve">and is in turn tightly correlated with total reproductive investment (for all species), the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t>
      </w:r>
      <w:proofErr w:type="spellStart"/>
      <w:r w:rsidRPr="00181612">
        <w:rPr>
          <w:rFonts w:cs="Times New Roman"/>
        </w:rPr>
        <w:t>Wesselingh</w:t>
      </w:r>
      <w:proofErr w:type="spellEnd"/>
      <w:r w:rsidRPr="00181612">
        <w:rPr>
          <w:rFonts w:cs="Times New Roman"/>
        </w:rPr>
        <w:t xml:space="preserve">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77777777" w:rsidR="00FF1706" w:rsidRPr="003C3342" w:rsidRDefault="00FF1706" w:rsidP="00FF1706">
      <w:pPr>
        <w:pStyle w:val="Heading2"/>
      </w:pPr>
      <w:commentRangeStart w:id="25"/>
      <w:r w:rsidRPr="003C3342">
        <w:t>Considerations</w:t>
      </w:r>
      <w:commentRangeEnd w:id="25"/>
      <w:r>
        <w:rPr>
          <w:rStyle w:val="CommentReference"/>
          <w:rFonts w:eastAsiaTheme="minorHAnsi" w:cstheme="minorBidi"/>
          <w:b w:val="0"/>
        </w:rPr>
        <w:commentReference w:id="25"/>
      </w:r>
    </w:p>
    <w:p w14:paraId="3BDD726E" w14:textId="7777777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 xml:space="preserve">(Pyke 1983; Pyke, O’Connor &amp; </w:t>
      </w:r>
      <w:proofErr w:type="spellStart"/>
      <w:r w:rsidRPr="00181612">
        <w:rPr>
          <w:rFonts w:cs="Times New Roman"/>
        </w:rPr>
        <w:t>Recher</w:t>
      </w:r>
      <w:proofErr w:type="spellEnd"/>
      <w:r w:rsidRPr="00181612">
        <w:rPr>
          <w:rFonts w:cs="Times New Roman"/>
        </w:rPr>
        <w:t xml:space="preserve"> 1993; Lloyd, </w:t>
      </w:r>
      <w:proofErr w:type="spellStart"/>
      <w:r w:rsidRPr="00181612">
        <w:rPr>
          <w:rFonts w:cs="Times New Roman"/>
        </w:rPr>
        <w:t>Ayre</w:t>
      </w:r>
      <w:proofErr w:type="spellEnd"/>
      <w:r w:rsidRPr="00181612">
        <w:rPr>
          <w:rFonts w:cs="Times New Roman"/>
        </w:rPr>
        <w:t xml:space="preserv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xml:space="preserve">, and well </w:t>
      </w:r>
      <w:r w:rsidRPr="003C3342">
        <w:lastRenderedPageBreak/>
        <w:t>under 5% for the other two species</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397BCB1D" w14:textId="77777777" w:rsidR="00FF1706" w:rsidRDefault="00FF1706" w:rsidP="00FF1706">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w:t>
      </w:r>
      <w:commentRangeStart w:id="26"/>
      <w:r w:rsidRPr="003C3342">
        <w:t xml:space="preserve">Previous studies indicate </w:t>
      </w:r>
      <w:r>
        <w:t xml:space="preserve">mineral </w:t>
      </w:r>
      <w:r w:rsidRPr="003C3342">
        <w:t>nutrient</w:t>
      </w:r>
      <w:r>
        <w:t>s</w:t>
      </w:r>
      <w:r w:rsidRPr="003C3342">
        <w:t xml:space="preserve"> may </w:t>
      </w:r>
      <w:r>
        <w:t xml:space="preserve">sometimes </w:t>
      </w:r>
      <w:r w:rsidRPr="003C3342">
        <w:t xml:space="preserve">better </w:t>
      </w:r>
      <w:r>
        <w:t>reflect</w:t>
      </w:r>
      <w:r w:rsidRPr="003C3342">
        <w:t xml:space="preserve"> allocation choices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1987b; Ashman 1994; Rosenheim </w:t>
      </w:r>
      <w:r w:rsidRPr="00181612">
        <w:rPr>
          <w:rFonts w:cs="Times New Roman"/>
          <w:i/>
          <w:iCs/>
        </w:rPr>
        <w:t>et al.</w:t>
      </w:r>
      <w:r w:rsidRPr="00181612">
        <w:rPr>
          <w:rFonts w:cs="Times New Roman"/>
        </w:rPr>
        <w:t xml:space="preserve"> 2014)</w:t>
      </w:r>
      <w:r w:rsidRPr="003C3342">
        <w:fldChar w:fldCharType="end"/>
      </w:r>
      <w:r w:rsidRPr="003C3342">
        <w:t>, but also that all currencies yield similar results.</w:t>
      </w:r>
      <w:commentRangeEnd w:id="26"/>
      <w:r>
        <w:rPr>
          <w:rStyle w:val="CommentReference"/>
        </w:rPr>
        <w:commentReference w:id="26"/>
      </w:r>
      <w:r w:rsidRPr="003C3342">
        <w:t xml:space="preserve"> </w:t>
      </w:r>
      <w:r>
        <w:t xml:space="preserve">For example, nectar production might seem relatively less expensive in units of P than in units of energy. </w:t>
      </w:r>
      <w:r w:rsidRPr="003C3342">
        <w:t xml:space="preserve">I </w:t>
      </w:r>
      <w:proofErr w:type="gramStart"/>
      <w:r w:rsidRPr="003C3342">
        <w:t>This</w:t>
      </w:r>
      <w:proofErr w:type="gramEnd"/>
      <w:r w:rsidRPr="003C3342">
        <w:t xml:space="preserve"> is a direction for future investigations. </w:t>
      </w:r>
    </w:p>
    <w:p w14:paraId="5D2BF99D" w14:textId="77777777" w:rsidR="00FF1706" w:rsidRDefault="00FF1706" w:rsidP="00FF1706">
      <w:r w:rsidRPr="003C3342">
        <w:t>A final consideration, is how to choose which tissues to include as “reproductive tissues”, since some green reproductive tissues are known to photosynthesize</w:t>
      </w:r>
      <w:r>
        <w:t xml:space="preserve"> </w:t>
      </w:r>
      <w:r>
        <w:fldChar w:fldCharType="begin"/>
      </w:r>
      <w:r>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 xml:space="preserve">(Cohen 1976; </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1987a; </w:t>
      </w:r>
      <w:proofErr w:type="spellStart"/>
      <w:r w:rsidRPr="00181612">
        <w:rPr>
          <w:rFonts w:cs="Times New Roman"/>
        </w:rPr>
        <w:t>Wesselingh</w:t>
      </w:r>
      <w:proofErr w:type="spellEnd"/>
      <w:r w:rsidRPr="00181612">
        <w:rPr>
          <w:rFonts w:cs="Times New Roman"/>
        </w:rPr>
        <w:t xml:space="preserve"> 2007)</w:t>
      </w:r>
      <w:r>
        <w:fldChar w:fldCharType="end"/>
      </w:r>
      <w:r>
        <w:t xml:space="preserve">. </w:t>
      </w:r>
      <w:r w:rsidRPr="003C3342">
        <w:t xml:space="preserve"> Since the net photosynthetic benefit of green reproductive tissues was unknown in this study and likely varied enormously across species, tissues and time, we adopted the parsimonious approach of considering all plant parts </w:t>
      </w:r>
      <w:commentRangeStart w:id="27"/>
      <w:r w:rsidRPr="003C3342">
        <w:t>produced solely for the benefit of reproduction</w:t>
      </w:r>
      <w:commentRangeEnd w:id="27"/>
      <w:r>
        <w:rPr>
          <w:rStyle w:val="CommentReference"/>
        </w:rPr>
        <w:commentReference w:id="27"/>
      </w:r>
      <w:r w:rsidRPr="003C3342">
        <w:t xml:space="preserve"> as components of reproductive investment. </w:t>
      </w:r>
    </w:p>
    <w:p w14:paraId="7B13F351" w14:textId="77777777" w:rsidR="00FF1706" w:rsidRDefault="00FF1706" w:rsidP="00FF1706">
      <w:r>
        <w:t xml:space="preserve">[MW: I'd suggest rephrasing above para as follows: 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 xml:space="preserve">(Cohen 1976; </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1987a; </w:t>
      </w:r>
      <w:proofErr w:type="spellStart"/>
      <w:r w:rsidRPr="00181612">
        <w:rPr>
          <w:rFonts w:cs="Times New Roman"/>
        </w:rPr>
        <w:t>Wesselingh</w:t>
      </w:r>
      <w:proofErr w:type="spellEnd"/>
      <w:r w:rsidRPr="00181612">
        <w:rPr>
          <w:rFonts w:cs="Times New Roman"/>
        </w:rPr>
        <w:t xml:space="preserve"> 2007)</w:t>
      </w:r>
      <w:r>
        <w:fldChar w:fldCharType="end"/>
      </w:r>
      <w:r>
        <w:t>. It can be a</w:t>
      </w:r>
      <w:bookmarkStart w:id="28" w:name="_GoBack"/>
      <w:bookmarkEnd w:id="28"/>
      <w:r>
        <w:t xml:space="preserve">rgued that their dry mass is not a fair measure of cost, with some of it being paid back from their own photosynthesis. As against this, it can be argued that all the plant's photosynthesis should be considered a common pool of resource, and dry mass of different parts fairly reflects the relative allocation to different activities.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w:t>
      </w:r>
      <w:proofErr w:type="spellStart"/>
      <w:r w:rsidRPr="00181612">
        <w:rPr>
          <w:rFonts w:cs="Times New Roman"/>
        </w:rPr>
        <w:t>Burd</w:t>
      </w:r>
      <w:proofErr w:type="spellEnd"/>
      <w:r w:rsidRPr="00181612">
        <w:rPr>
          <w:rFonts w:cs="Times New Roman"/>
        </w:rPr>
        <w:t xml:space="preserve">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w:t>
      </w:r>
      <w:r w:rsidRPr="008A6743">
        <w:rPr>
          <w:color w:val="000000" w:themeColor="text1"/>
        </w:rPr>
        <w:lastRenderedPageBreak/>
        <w:t xml:space="preserve">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w:t>
      </w:r>
      <w:proofErr w:type="spellStart"/>
      <w:r w:rsidRPr="00181612">
        <w:rPr>
          <w:rFonts w:cs="Times New Roman"/>
        </w:rPr>
        <w:t>Burd</w:t>
      </w:r>
      <w:proofErr w:type="spellEnd"/>
      <w:r w:rsidRPr="00181612">
        <w:rPr>
          <w:rFonts w:cs="Times New Roman"/>
        </w:rPr>
        <w:t xml:space="preserve">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77777777" w:rsidR="00FF1706" w:rsidRPr="003C3342" w:rsidRDefault="00FF1706" w:rsidP="00FF1706"/>
    <w:p w14:paraId="14716889" w14:textId="77777777" w:rsidR="00FF1706" w:rsidRDefault="00FF1706" w:rsidP="00FF1706">
      <w:r w:rsidRPr="003C3342">
        <w:t xml:space="preserve">The coastal heath community in eastern Australia has been </w:t>
      </w:r>
      <w:r>
        <w:t>often</w:t>
      </w:r>
      <w:r w:rsidRPr="003C3342">
        <w:t xml:space="preserve"> studied, both as a focal point for data collection on trait ecology and because of a general interest in the family Proteaceae, a dominant in this and many nearby communities</w:t>
      </w:r>
      <w:r>
        <w:t>. Seven</w:t>
      </w:r>
      <w:r w:rsidRPr="003C3342">
        <w:t xml:space="preserve"> of the 14 species in this study are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w:t>
      </w:r>
      <w:proofErr w:type="spellStart"/>
      <w:r w:rsidRPr="00181612">
        <w:rPr>
          <w:rFonts w:cs="Times New Roman"/>
        </w:rPr>
        <w:t>Hermanutz</w:t>
      </w:r>
      <w:proofErr w:type="spellEnd"/>
      <w:r w:rsidRPr="00181612">
        <w:rPr>
          <w:rFonts w:cs="Times New Roman"/>
        </w:rPr>
        <w:t xml:space="preserve"> </w:t>
      </w:r>
      <w:r w:rsidRPr="00181612">
        <w:rPr>
          <w:rFonts w:cs="Times New Roman"/>
          <w:i/>
          <w:iCs/>
        </w:rPr>
        <w:t>et al.</w:t>
      </w:r>
      <w:r w:rsidRPr="00181612">
        <w:rPr>
          <w:rFonts w:cs="Times New Roman"/>
        </w:rPr>
        <w:t xml:space="preserve"> 1998)</w:t>
      </w:r>
      <w:r w:rsidRPr="003C3342">
        <w:fldChar w:fldCharType="end"/>
      </w:r>
      <w:r w:rsidRPr="003C3342">
        <w:t xml:space="preserve"> and to produce large woody fruits designed to allow seeds to withstand the frequent fires and then germinate following fire. Five species of </w:t>
      </w:r>
      <w:r w:rsidRPr="003C3342">
        <w:rPr>
          <w:i/>
        </w:rPr>
        <w:t>G</w:t>
      </w:r>
      <w:r>
        <w:rPr>
          <w:i/>
        </w:rPr>
        <w:t>r</w:t>
      </w:r>
      <w:r w:rsidRPr="003C3342">
        <w:rPr>
          <w:i/>
        </w:rPr>
        <w:t xml:space="preserve">evillea </w:t>
      </w:r>
      <w:r w:rsidRPr="003C3342">
        <w:t xml:space="preserve">studied in communities nearby had fruit set between 1.5-9.6% </w:t>
      </w:r>
      <w:r w:rsidRPr="003C3342">
        <w:fldChar w:fldCharType="begin"/>
      </w:r>
      <w:r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w:t>
      </w:r>
      <w:proofErr w:type="spellStart"/>
      <w:r w:rsidRPr="00181612">
        <w:rPr>
          <w:rFonts w:cs="Times New Roman"/>
        </w:rPr>
        <w:t>Hermanutz</w:t>
      </w:r>
      <w:proofErr w:type="spellEnd"/>
      <w:r w:rsidRPr="00181612">
        <w:rPr>
          <w:rFonts w:cs="Times New Roman"/>
        </w:rPr>
        <w:t xml:space="preserve"> </w:t>
      </w:r>
      <w:r w:rsidRPr="00181612">
        <w:rPr>
          <w:rFonts w:cs="Times New Roman"/>
          <w:i/>
          <w:iCs/>
        </w:rPr>
        <w:t>et al.</w:t>
      </w:r>
      <w:r w:rsidRPr="00181612">
        <w:rPr>
          <w:rFonts w:cs="Times New Roman"/>
        </w:rPr>
        <w:t xml:space="preserve"> 1998)</w:t>
      </w:r>
      <w:r w:rsidRPr="003C3342">
        <w:fldChar w:fldCharType="end"/>
      </w:r>
      <w:r w:rsidRPr="003C3342">
        <w:t xml:space="preserve">, similar to the seedset of the two species growing at our study site (Table 1). </w:t>
      </w:r>
      <w:r w:rsidRPr="003C3342">
        <w:rPr>
          <w:i/>
        </w:rPr>
        <w:t xml:space="preserve">Grevillea </w:t>
      </w:r>
      <w:r w:rsidRPr="003C3342">
        <w:t xml:space="preserve">species tend </w:t>
      </w:r>
      <w:commentRangeStart w:id="29"/>
      <w:r w:rsidRPr="003C3342">
        <w:t>not to be self-incompatible, with the low fruit set attributed to pollen limitation</w:t>
      </w:r>
      <w:commentRangeEnd w:id="29"/>
      <w:r>
        <w:rPr>
          <w:rStyle w:val="CommentReference"/>
        </w:rPr>
        <w:commentReference w:id="29"/>
      </w:r>
      <w:r w:rsidRPr="003C3342">
        <w:t xml:space="preserve"> and flower and fruit predation. </w:t>
      </w:r>
      <w:r w:rsidRPr="003C3342">
        <w:rPr>
          <w:i/>
        </w:rPr>
        <w:t>Banksia ericifolia</w:t>
      </w:r>
      <w:r w:rsidRPr="003C3342">
        <w:t xml:space="preserve">, </w:t>
      </w:r>
      <w:r w:rsidRPr="003C3342">
        <w:rPr>
          <w:i/>
        </w:rPr>
        <w:t>Hakea teretifolia</w:t>
      </w:r>
      <w:r w:rsidRPr="003C3342">
        <w:t xml:space="preserve">, and </w:t>
      </w:r>
      <w:r w:rsidRPr="003C3342">
        <w:rPr>
          <w:i/>
        </w:rPr>
        <w:t>Petrophile pulchella</w:t>
      </w:r>
      <w:r w:rsidRPr="003C3342">
        <w:t xml:space="preserve"> all have fire-resistant fruits, and </w:t>
      </w:r>
      <w:r w:rsidRPr="003C3342">
        <w:rPr>
          <w:i/>
        </w:rPr>
        <w:t>Banksia</w:t>
      </w:r>
      <w:r w:rsidRPr="003C3342">
        <w:t xml:space="preserve"> </w:t>
      </w:r>
      <w:r w:rsidRPr="003C3342">
        <w:rPr>
          <w:i/>
        </w:rPr>
        <w:t>ericifolia</w:t>
      </w:r>
      <w:r w:rsidRPr="003C3342">
        <w:t xml:space="preserve"> and </w:t>
      </w:r>
      <w:r w:rsidRPr="003C3342">
        <w:rPr>
          <w:i/>
        </w:rPr>
        <w:t>Hakea</w:t>
      </w:r>
      <w:r w:rsidRPr="003C3342">
        <w:t xml:space="preserve"> </w:t>
      </w:r>
      <w:r w:rsidRPr="003C3342">
        <w:rPr>
          <w:i/>
        </w:rPr>
        <w:t>teretifolia</w:t>
      </w:r>
      <w:r w:rsidRPr="003C3342">
        <w:t xml:space="preserve"> have the largest seeds and </w:t>
      </w:r>
      <w:r>
        <w:t xml:space="preserve">the </w:t>
      </w:r>
      <w:r w:rsidRPr="003C3342">
        <w:t xml:space="preserve">greatest packaging and dispersal investment among the species in this study. </w:t>
      </w:r>
      <w:r>
        <w:t>A</w:t>
      </w:r>
      <w:r w:rsidRPr="003C3342">
        <w:t xml:space="preserve">lthough none of the species included in the study are explicitly masting species, the two cone-producing species, </w:t>
      </w:r>
      <w:r w:rsidRPr="003C3342">
        <w:rPr>
          <w:i/>
        </w:rPr>
        <w:t>Banksia</w:t>
      </w:r>
      <w:r w:rsidRPr="003C3342">
        <w:t xml:space="preserve"> </w:t>
      </w:r>
      <w:r w:rsidRPr="003C3342">
        <w:rPr>
          <w:i/>
        </w:rPr>
        <w:t>ericifolia</w:t>
      </w:r>
      <w:r w:rsidRPr="003C3342">
        <w:t xml:space="preserve"> and </w:t>
      </w:r>
      <w:r w:rsidRPr="003C3342">
        <w:rPr>
          <w:i/>
        </w:rPr>
        <w:t>Petrophile</w:t>
      </w:r>
      <w:r>
        <w:rPr>
          <w:i/>
        </w:rPr>
        <w:t xml:space="preserve"> </w:t>
      </w:r>
      <w:r w:rsidRPr="003C3342">
        <w:rPr>
          <w:i/>
        </w:rPr>
        <w:t>pulchella</w:t>
      </w:r>
      <w:r w:rsidRPr="003C3342">
        <w:t xml:space="preserve">, do not form seeds </w:t>
      </w:r>
      <w:r>
        <w:t>every</w:t>
      </w:r>
      <w:r w:rsidRPr="003C3342">
        <w:t xml:space="preserve"> year (pers. obs.). This is shown at the population level by the large number of reproductively mature individuals that do not produce any seeds – or sometimes even any buds – in a given year. </w:t>
      </w:r>
      <w:commentRangeStart w:id="30"/>
      <w:r w:rsidRPr="003C3342">
        <w:t xml:space="preserve">As has been shown in other species of </w:t>
      </w:r>
      <w:r w:rsidRPr="003C3342">
        <w:rPr>
          <w:i/>
        </w:rPr>
        <w:t>Banksia</w:t>
      </w:r>
      <w:r w:rsidRPr="003C3342">
        <w:t xml:space="preserve"> </w:t>
      </w:r>
      <w:r w:rsidRPr="003C3342">
        <w:fldChar w:fldCharType="begin"/>
      </w:r>
      <w:r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Pr="003C3342">
        <w:fldChar w:fldCharType="separate"/>
      </w:r>
      <w:r w:rsidRPr="00181612">
        <w:rPr>
          <w:rFonts w:cs="Times New Roman"/>
        </w:rPr>
        <w:t>(Copland &amp; Whelan 1989)</w:t>
      </w:r>
      <w:r w:rsidRPr="003C3342">
        <w:fldChar w:fldCharType="end"/>
      </w:r>
      <w:r w:rsidRPr="003C3342">
        <w:t xml:space="preserve">, the inter-annual variability in </w:t>
      </w:r>
      <w:r w:rsidRPr="003C3342">
        <w:lastRenderedPageBreak/>
        <w:t xml:space="preserve">seed production for these species may be due to resource limitation in the year following seed production. </w:t>
      </w:r>
      <w:commentRangeEnd w:id="30"/>
      <w:r>
        <w:rPr>
          <w:rStyle w:val="CommentReference"/>
        </w:rPr>
        <w:commentReference w:id="30"/>
      </w:r>
    </w:p>
    <w:p w14:paraId="5DC4147A" w14:textId="77777777" w:rsidR="00FF1706" w:rsidRDefault="00FF1706" w:rsidP="00FF1706">
      <w:pPr>
        <w:pStyle w:val="Heading2"/>
      </w:pPr>
      <w:r>
        <w:t>Conclusions</w:t>
      </w:r>
    </w:p>
    <w:p w14:paraId="46527BD0" w14:textId="77777777"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on average produce a proportionally larger excess of ovules relative to the seeds they are able to provision. </w:t>
      </w:r>
    </w:p>
    <w:p w14:paraId="5CC92B7A" w14:textId="717B3982" w:rsidR="00AA3DEB" w:rsidRDefault="00AA3DEB" w:rsidP="003C3342">
      <w:pPr>
        <w:pStyle w:val="Heading2"/>
      </w:pPr>
      <w:r>
        <w:t>Count-cost and choosiness-</w:t>
      </w:r>
      <w:r w:rsidR="0094074D">
        <w:t xml:space="preserve">cost </w:t>
      </w:r>
      <w:r>
        <w:t>trade-offs observed</w:t>
      </w:r>
    </w:p>
    <w:p w14:paraId="51390005" w14:textId="425102E4"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r w:rsidR="007616B9">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7616B9">
        <w:fldChar w:fldCharType="separate"/>
      </w:r>
      <w:r w:rsidR="007616B9" w:rsidRPr="007616B9">
        <w:rPr>
          <w:rFonts w:cs="Times New Roman"/>
        </w:rPr>
        <w:t xml:space="preserve">(Smith &amp; Fretwell 1974; Moles </w:t>
      </w:r>
      <w:r w:rsidR="007616B9" w:rsidRPr="007616B9">
        <w:rPr>
          <w:rFonts w:cs="Times New Roman"/>
          <w:i/>
          <w:iCs/>
        </w:rPr>
        <w:t>et al.</w:t>
      </w:r>
      <w:r w:rsidR="007616B9" w:rsidRPr="007616B9">
        <w:rPr>
          <w:rFonts w:cs="Times New Roman"/>
        </w:rPr>
        <w:t xml:space="preserve"> 2004; Sadras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31"/>
      <w:r w:rsidR="0014546F">
        <w:t>(###refs)</w:t>
      </w:r>
      <w:commentRangeEnd w:id="31"/>
      <w:r w:rsidR="00773F65">
        <w:rPr>
          <w:rStyle w:val="CommentReference"/>
        </w:rPr>
        <w:commentReference w:id="31"/>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w:t>
      </w:r>
      <w:r w:rsidR="008E4F7F">
        <w:lastRenderedPageBreak/>
        <w:t xml:space="preserve">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181612" w:rsidRPr="00181612">
        <w:rPr>
          <w:rFonts w:cs="Times New Roman"/>
        </w:rPr>
        <w:t>(Smith &amp; Fretwell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26B4D6FE"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r w:rsidR="007616B9">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 xml:space="preserve">are strongly borne </w:t>
      </w:r>
      <w:r w:rsidR="007C209F">
        <w:lastRenderedPageBreak/>
        <w:t>out by the data</w:t>
      </w:r>
      <w:r w:rsidR="00EF7ED8">
        <w:t>, while the third is weaker</w:t>
      </w:r>
      <w:r w:rsidR="007C209F">
        <w:t xml:space="preserve">. </w:t>
      </w:r>
      <w:r w:rsidR="00DB0EBC">
        <w:t xml:space="preserve">First, </w:t>
      </w:r>
      <w:r w:rsidR="00F13D56">
        <w:t xml:space="preserve">since large-seeded species have lower seedset –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043A0C77"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r w:rsidR="0088543F">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88543F">
        <w:rPr>
          <w:rFonts w:ascii="Cambria Math" w:hAnsi="Cambria Math" w:cs="Cambria Math"/>
          <w:color w:val="000000" w:themeColor="text1"/>
        </w:rPr>
        <w:instrText>‐</w:instrText>
      </w:r>
      <w:r w:rsidR="0088543F">
        <w:rPr>
          <w:color w:val="000000" w:themeColor="text1"/>
        </w:rPr>
        <w:instrText>form hypothesis, which suggests that large seeds and biotic dispersal evolved as coadapted traits along with evolution of large plant life</w:instrText>
      </w:r>
      <w:r w:rsidR="0088543F">
        <w:rPr>
          <w:rFonts w:ascii="Cambria Math" w:hAnsi="Cambria Math" w:cs="Cambria Math"/>
          <w:color w:val="000000" w:themeColor="text1"/>
        </w:rPr>
        <w:instrText>‐</w:instrText>
      </w:r>
      <w:r w:rsidR="0088543F">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88543F">
        <w:rPr>
          <w:rFonts w:ascii="Cambria Math" w:hAnsi="Cambria Math" w:cs="Cambria Math"/>
          <w:color w:val="000000" w:themeColor="text1"/>
        </w:rPr>
        <w:instrText>‐</w:instrText>
      </w:r>
      <w:r w:rsidR="0088543F">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37EE61B8" w:rsidR="0088543F" w:rsidRDefault="0088543F" w:rsidP="00931AFE">
      <w:pPr>
        <w:rPr>
          <w:color w:val="000000" w:themeColor="text1"/>
        </w:rPr>
      </w:pPr>
      <w:r w:rsidRPr="009972A0">
        <w:lastRenderedPageBreak/>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r w:rsidR="0094074D">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4074D">
        <w:rPr>
          <w:rFonts w:ascii="Cambria Math" w:hAnsi="Cambria Math" w:cs="Cambria Math"/>
        </w:rPr>
        <w:instrText>⬚</w:instrText>
      </w:r>
      <w:r w:rsidR="0094074D">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931AFE">
        <w:rPr>
          <w:rFonts w:cs="Times New Roman"/>
        </w:rPr>
        <w:fldChar w:fldCharType="separate"/>
      </w:r>
      <w:r w:rsidR="0094074D" w:rsidRPr="0094074D">
        <w:rPr>
          <w:rFonts w:cs="Times New Roman"/>
        </w:rPr>
        <w:t xml:space="preserve">(Henery &amp; Westoby 2001; Moles, Warton &amp; Westoby 2003; Lord &amp; Westoby 2006; Chen </w:t>
      </w:r>
      <w:r w:rsidR="0094074D" w:rsidRPr="0094074D">
        <w:rPr>
          <w:rFonts w:cs="Times New Roman"/>
          <w:i/>
          <w:iCs/>
        </w:rPr>
        <w:t>et al.</w:t>
      </w:r>
      <w:r w:rsidR="0094074D" w:rsidRPr="0094074D">
        <w:rPr>
          <w:rFonts w:cs="Times New Roman"/>
        </w:rPr>
        <w:t xml:space="preserve"> 2010; Lord &amp; Westoby 2012)</w:t>
      </w:r>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Mironchenko &amp; Kozłowski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t>Shifts in accessory costs with plant size and age</w:t>
      </w:r>
    </w:p>
    <w:p w14:paraId="54FBFF62" w14:textId="34DB02E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181612" w:rsidRPr="00181612">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181612" w:rsidRPr="00181612">
        <w:rPr>
          <w:rFonts w:cs="Times New Roman"/>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w:t>
      </w:r>
      <w:r w:rsidR="003A0B41" w:rsidRPr="003C3342">
        <w:lastRenderedPageBreak/>
        <w:t xml:space="preserve">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326848F"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181612" w:rsidRPr="00181612">
        <w:rPr>
          <w:rFonts w:cs="Times New Roman"/>
        </w:rPr>
        <w:t xml:space="preserve">(Fisher </w:t>
      </w:r>
      <w:r w:rsidR="00181612" w:rsidRPr="00181612">
        <w:rPr>
          <w:rFonts w:cs="Times New Roman"/>
          <w:i/>
          <w:iCs/>
        </w:rPr>
        <w:t>et al.</w:t>
      </w:r>
      <w:r w:rsidR="00181612" w:rsidRPr="00181612">
        <w:rPr>
          <w:rFonts w:cs="Times New Roman"/>
        </w:rPr>
        <w:t xml:space="preserve"> 2010; Falster </w:t>
      </w:r>
      <w:r w:rsidR="00181612" w:rsidRPr="00181612">
        <w:rPr>
          <w:rFonts w:cs="Times New Roman"/>
          <w:i/>
          <w:iCs/>
        </w:rPr>
        <w:t>et al.</w:t>
      </w:r>
      <w:r w:rsidR="00181612" w:rsidRPr="00181612">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181612" w:rsidRPr="00181612">
        <w:rPr>
          <w:rFonts w:cs="Times New Roman"/>
        </w:rPr>
        <w:t xml:space="preserve">(Garcia &amp; Ehrlen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F5A14DF"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t>
      </w:r>
      <w:r w:rsidR="00C11A83">
        <w:t>mass</w:t>
      </w:r>
      <w:r w:rsidR="001A0703" w:rsidRPr="003C3342">
        <w:t xml:space="preserve">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803F4C3" w:rsidR="00E76AB7" w:rsidRPr="003C3342" w:rsidRDefault="00BF1046" w:rsidP="00D46295">
      <w:r>
        <w:lastRenderedPageBreak/>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t>
      </w:r>
      <w:r w:rsidR="00C11A83">
        <w:t>mass</w:t>
      </w:r>
      <w:r w:rsidR="00B5625C" w:rsidRPr="003C3342">
        <w:t xml:space="preserve">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34995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32"/>
      <w:r w:rsidRPr="003C3342">
        <w:t xml:space="preserve"> </w:t>
      </w:r>
      <w:r w:rsidR="004716BC" w:rsidRPr="003C3342">
        <w:t xml:space="preserve">initiated buds is well-predicted by plant size (for most species) </w:t>
      </w:r>
      <w:commentRangeEnd w:id="32"/>
      <w:r w:rsidR="00987FE7">
        <w:rPr>
          <w:rStyle w:val="CommentReference"/>
        </w:rPr>
        <w:commentReference w:id="32"/>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524161">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524161">
        <w:rPr>
          <w:rFonts w:ascii="Cambria Math" w:hAnsi="Cambria Math" w:cs="Cambria Math"/>
        </w:rPr>
        <w:instrText>‐</w:instrText>
      </w:r>
      <w:r w:rsidR="00524161">
        <w:instrText>annual schedules consisting of either high or low reproduction years. Seed production was weakly more variable among wind</w:instrText>
      </w:r>
      <w:r w:rsidR="00524161">
        <w:rPr>
          <w:rFonts w:ascii="Cambria Math" w:hAnsi="Cambria Math" w:cs="Cambria Math"/>
        </w:rPr>
        <w:instrText>‐</w:instrText>
      </w:r>
      <w:r w:rsidR="00524161">
        <w:instrText>pollinated taxa than animal</w:instrText>
      </w:r>
      <w:r w:rsidR="00524161">
        <w:rPr>
          <w:rFonts w:ascii="Cambria Math" w:hAnsi="Cambria Math" w:cs="Cambria Math"/>
        </w:rPr>
        <w:instrText>‐</w:instrText>
      </w:r>
      <w:r w:rsidR="00524161">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524161">
        <w:rPr>
          <w:rFonts w:ascii="Cambria Math" w:hAnsi="Cambria Math" w:cs="Cambria Math"/>
        </w:rPr>
        <w:instrText>‐</w:instrText>
      </w:r>
      <w:r w:rsidR="00524161">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7E6B62C0" w14:textId="7C5023F8"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181612" w:rsidRPr="00181612">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fldChar w:fldCharType="begin"/>
      </w:r>
      <w:r w:rsidR="00B03C0E">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B03C0E">
        <w:fldChar w:fldCharType="separate"/>
      </w:r>
      <w:r w:rsidR="00B03C0E" w:rsidRPr="00181612">
        <w:rPr>
          <w:rFonts w:cs="Times New Roman"/>
        </w:rPr>
        <w:t>(Pyke 1983; Pyke, O’Connor &amp; Recher 1993; Lloyd, Ayre &amp; Whelan 2002)</w:t>
      </w:r>
      <w:r w:rsidR="00B03C0E">
        <w:fldChar w:fldCharType="end"/>
      </w:r>
      <w:r w:rsidR="00B03C0E">
        <w:t>.</w:t>
      </w:r>
    </w:p>
    <w:p w14:paraId="3423116E" w14:textId="419A03FE" w:rsidR="00E573B8" w:rsidRDefault="006A57AA" w:rsidP="007444C4">
      <w:r w:rsidRPr="003C3342">
        <w:t xml:space="preserve">These seemingly large energy expenditures, segue to our next consideration: </w:t>
      </w:r>
      <w:r w:rsidR="001E1144" w:rsidRPr="003C3342">
        <w:t>I</w:t>
      </w:r>
      <w:r w:rsidRPr="003C3342">
        <w:t xml:space="preserve">s dry </w:t>
      </w:r>
      <w:r w:rsidR="00C11A83">
        <w:t>mass</w:t>
      </w:r>
      <w:r w:rsidRPr="003C3342">
        <w:t xml:space="preserve">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(Reekie &amp; Bazzaz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r w:rsidR="00181612">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181612">
        <w:fldChar w:fldCharType="separate"/>
      </w:r>
      <w:r w:rsidR="00181612" w:rsidRPr="00181612">
        <w:rPr>
          <w:rFonts w:cs="Times New Roman"/>
        </w:rPr>
        <w:t>(Cohen 1976; Reekie &amp; Bazzaz 1987a; Wesselingh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1C1CAB61" w:rsidR="008A6743" w:rsidRPr="008A6743" w:rsidRDefault="008A6743" w:rsidP="008A6743">
      <w:pPr>
        <w:rPr>
          <w:color w:val="000000" w:themeColor="text1"/>
        </w:rPr>
      </w:pPr>
      <w:r w:rsidRPr="008A6743">
        <w:rPr>
          <w:color w:val="000000" w:themeColor="text1"/>
        </w:rPr>
        <w:lastRenderedPageBreak/>
        <w:t xml:space="preserve">Not addressed by this dataset, are other known factors that undoubtedly also contribute to low seedset in this system, including pollen-limitation </w:t>
      </w:r>
      <w:r w:rsidRPr="008A6743">
        <w:rPr>
          <w:color w:val="000000" w:themeColor="text1"/>
        </w:rPr>
        <w:fldChar w:fldCharType="begin"/>
      </w:r>
      <w:r w:rsidR="00524161">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00524161">
        <w:rPr>
          <w:rFonts w:ascii="Cambria Math" w:hAnsi="Cambria Math" w:cs="Cambria Math"/>
          <w:color w:val="000000" w:themeColor="text1"/>
        </w:rPr>
        <w:instrText>‐</w:instrText>
      </w:r>
      <w:r w:rsidR="00524161">
        <w:rPr>
          <w:color w:val="000000" w:themeColor="text1"/>
        </w:rPr>
        <w:instrText>Westoby model revisited.","container-title":"The American Naturalist","page":"400-404","volume":"171","issue":"3","source":"JSTOR","abstract":"Abstract: The Haig</w:instrText>
      </w:r>
      <w:r w:rsidR="00524161">
        <w:rPr>
          <w:rFonts w:ascii="Cambria Math" w:hAnsi="Cambria Math" w:cs="Cambria Math"/>
          <w:color w:val="000000" w:themeColor="text1"/>
        </w:rPr>
        <w:instrText>‐</w:instrText>
      </w:r>
      <w:r w:rsidR="00524161">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24161">
        <w:rPr>
          <w:rFonts w:ascii="Cambria Math" w:hAnsi="Cambria Math" w:cs="Cambria Math"/>
          <w:color w:val="000000" w:themeColor="text1"/>
        </w:rPr>
        <w:instrText>‐</w:instrText>
      </w:r>
      <w:r w:rsidR="00524161">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24161">
        <w:rPr>
          <w:rFonts w:ascii="Cambria Math" w:hAnsi="Cambria Math" w:cs="Cambria Math"/>
          <w:color w:val="000000" w:themeColor="text1"/>
        </w:rPr>
        <w:instrText>‐</w:instrText>
      </w:r>
      <w:r w:rsidR="00524161">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24161">
        <w:rPr>
          <w:rFonts w:ascii="Cambria Math" w:hAnsi="Cambria Math" w:cs="Cambria Math"/>
          <w:color w:val="000000" w:themeColor="text1"/>
        </w:rPr>
        <w:instrText>‐</w:instrText>
      </w:r>
      <w:r w:rsidR="00524161">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181612"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00524161">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00524161">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181612" w:rsidRPr="00181612">
        <w:rPr>
          <w:rFonts w:cs="Times New Roman"/>
        </w:rPr>
        <w:t xml:space="preserve">(Mock &amp; Forbes 1995; Burd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052CE3F2"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lastRenderedPageBreak/>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325B5F28" w14:textId="645CCF59" w:rsidR="004F6B2C" w:rsidRDefault="004F6B2C" w:rsidP="000C4B85">
      <w:pPr>
        <w:pStyle w:val="Heading1"/>
      </w:pPr>
      <w:r w:rsidRPr="003C3342">
        <w:rPr>
          <w:rFonts w:cs="Times New Roman"/>
        </w:rPr>
        <w:t>References</w:t>
      </w:r>
    </w:p>
    <w:p w14:paraId="46DB23ED" w14:textId="77777777" w:rsidR="0094074D" w:rsidRDefault="000C4B85" w:rsidP="0094074D">
      <w:pPr>
        <w:pStyle w:val="Bibliography"/>
      </w:pPr>
      <w:r>
        <w:fldChar w:fldCharType="begin"/>
      </w:r>
      <w:r>
        <w:instrText xml:space="preserve"> ADDIN ZOTERO_BIBL {"custom":[]} CSL_BIBLIOGRAPHY </w:instrText>
      </w:r>
      <w:r>
        <w:fldChar w:fldCharType="separate"/>
      </w:r>
      <w:r w:rsidR="0094074D">
        <w:t xml:space="preserve">Ashman, T. (1994) Reproductive allocation in hermaphrodite and female plants of </w:t>
      </w:r>
      <w:r w:rsidR="0094074D">
        <w:rPr>
          <w:i/>
          <w:iCs/>
        </w:rPr>
        <w:t>Sidalcea oregana</w:t>
      </w:r>
      <w:r w:rsidR="0094074D">
        <w:t xml:space="preserve"> ssp </w:t>
      </w:r>
      <w:r w:rsidR="0094074D">
        <w:rPr>
          <w:i/>
          <w:iCs/>
        </w:rPr>
        <w:t>spicata</w:t>
      </w:r>
      <w:r w:rsidR="0094074D">
        <w:t xml:space="preserve"> (Malvaceae) using 4 currencies. </w:t>
      </w:r>
      <w:r w:rsidR="0094074D">
        <w:rPr>
          <w:i/>
          <w:iCs/>
        </w:rPr>
        <w:t>American Journal of Botany</w:t>
      </w:r>
      <w:r w:rsidR="0094074D">
        <w:t xml:space="preserve">, </w:t>
      </w:r>
      <w:r w:rsidR="0094074D">
        <w:rPr>
          <w:b/>
          <w:bCs/>
        </w:rPr>
        <w:t>81</w:t>
      </w:r>
      <w:r w:rsidR="0094074D">
        <w:t>, 433–438.</w:t>
      </w:r>
    </w:p>
    <w:p w14:paraId="5FFE06B3" w14:textId="77777777" w:rsidR="0094074D" w:rsidRDefault="0094074D" w:rsidP="0094074D">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F53E56F" w14:textId="77777777" w:rsidR="0094074D" w:rsidRDefault="0094074D" w:rsidP="0094074D">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40959616" w14:textId="77777777" w:rsidR="0094074D" w:rsidRDefault="0094074D" w:rsidP="0094074D">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45AB9DC3" w14:textId="77777777" w:rsidR="0094074D" w:rsidRDefault="0094074D" w:rsidP="0094074D">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63D01E86" w14:textId="77777777" w:rsidR="0094074D" w:rsidRDefault="0094074D" w:rsidP="0094074D">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422FEEF8" w14:textId="77777777" w:rsidR="0094074D" w:rsidRDefault="0094074D" w:rsidP="0094074D">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43EF7656" w14:textId="77777777" w:rsidR="0094074D" w:rsidRDefault="0094074D" w:rsidP="0094074D">
      <w:pPr>
        <w:pStyle w:val="Bibliography"/>
      </w:pPr>
      <w:r>
        <w:t xml:space="preserve">Burd, M. (2016) Pollen Limitation Is Common-Should It Be? </w:t>
      </w:r>
      <w:r>
        <w:rPr>
          <w:i/>
          <w:iCs/>
        </w:rPr>
        <w:t>The American Naturalist</w:t>
      </w:r>
      <w:r>
        <w:t xml:space="preserve">, </w:t>
      </w:r>
      <w:r>
        <w:rPr>
          <w:b/>
          <w:bCs/>
        </w:rPr>
        <w:t>187</w:t>
      </w:r>
      <w:r>
        <w:t>, 388–396.</w:t>
      </w:r>
    </w:p>
    <w:p w14:paraId="549B9DB4" w14:textId="77777777" w:rsidR="0094074D" w:rsidRDefault="0094074D" w:rsidP="0094074D">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70FDE1C6" w14:textId="77777777" w:rsidR="0094074D" w:rsidRDefault="0094074D" w:rsidP="0094074D">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56CB4B89" w14:textId="77777777" w:rsidR="0094074D" w:rsidRDefault="0094074D" w:rsidP="0094074D">
      <w:pPr>
        <w:pStyle w:val="Bibliography"/>
      </w:pPr>
      <w:r>
        <w:t xml:space="preserve">Cohen, D. (1976) The optimal timing of reproduction. </w:t>
      </w:r>
      <w:r>
        <w:rPr>
          <w:i/>
          <w:iCs/>
        </w:rPr>
        <w:t>The American Naturalist</w:t>
      </w:r>
      <w:r>
        <w:t xml:space="preserve">, </w:t>
      </w:r>
      <w:r>
        <w:rPr>
          <w:b/>
          <w:bCs/>
        </w:rPr>
        <w:t>110</w:t>
      </w:r>
      <w:r>
        <w:t>, 801.</w:t>
      </w:r>
    </w:p>
    <w:p w14:paraId="501DA21B" w14:textId="77777777" w:rsidR="0094074D" w:rsidRDefault="0094074D" w:rsidP="0094074D">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1BE0CFC2" w14:textId="77777777" w:rsidR="0094074D" w:rsidRDefault="0094074D" w:rsidP="0094074D">
      <w:pPr>
        <w:pStyle w:val="Bibliography"/>
      </w:pPr>
      <w:r>
        <w:lastRenderedPageBreak/>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1A8F192D" w14:textId="77777777" w:rsidR="0094074D" w:rsidRDefault="0094074D" w:rsidP="0094074D">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7EC582B3" w14:textId="77777777" w:rsidR="0094074D" w:rsidRDefault="0094074D" w:rsidP="0094074D">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7A34056F" w14:textId="77777777" w:rsidR="0094074D" w:rsidRDefault="0094074D" w:rsidP="0094074D">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38C16FA2" w14:textId="77777777" w:rsidR="0094074D" w:rsidRDefault="0094074D" w:rsidP="0094074D">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6FE45A83" w14:textId="77777777" w:rsidR="0094074D" w:rsidRDefault="0094074D" w:rsidP="0094074D">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26714A6E" w14:textId="77777777" w:rsidR="0094074D" w:rsidRDefault="0094074D" w:rsidP="0094074D">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634114BB" w14:textId="77777777" w:rsidR="0094074D" w:rsidRDefault="0094074D" w:rsidP="0094074D">
      <w:pPr>
        <w:pStyle w:val="Bibliography"/>
      </w:pPr>
      <w:r>
        <w:t xml:space="preserve">Haig, D. &amp; Westoby, M. (1988) On limits to seed production. </w:t>
      </w:r>
      <w:r>
        <w:rPr>
          <w:i/>
          <w:iCs/>
        </w:rPr>
        <w:t>American Naturalist</w:t>
      </w:r>
      <w:r>
        <w:t xml:space="preserve">, </w:t>
      </w:r>
      <w:r>
        <w:rPr>
          <w:b/>
          <w:bCs/>
        </w:rPr>
        <w:t>131</w:t>
      </w:r>
      <w:r>
        <w:t>, 757–759.</w:t>
      </w:r>
    </w:p>
    <w:p w14:paraId="52C541AB" w14:textId="77777777" w:rsidR="0094074D" w:rsidRDefault="0094074D" w:rsidP="0094074D">
      <w:pPr>
        <w:pStyle w:val="Bibliography"/>
      </w:pPr>
      <w:r>
        <w:t xml:space="preserve">Harder, L.D. &amp; Barrett, S.C.H. (2006) </w:t>
      </w:r>
      <w:r>
        <w:rPr>
          <w:i/>
          <w:iCs/>
        </w:rPr>
        <w:t>Ecology and Evolution of Flowers</w:t>
      </w:r>
      <w:r>
        <w:t>. Oxford University Press.</w:t>
      </w:r>
    </w:p>
    <w:p w14:paraId="747520FF" w14:textId="77777777" w:rsidR="0094074D" w:rsidRDefault="0094074D" w:rsidP="0094074D">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4C7FDBB5" w14:textId="77777777" w:rsidR="0094074D" w:rsidRDefault="0094074D" w:rsidP="0094074D">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601C9F5F" w14:textId="77777777" w:rsidR="0094074D" w:rsidRDefault="0094074D" w:rsidP="0094074D">
      <w:pPr>
        <w:pStyle w:val="Bibliography"/>
      </w:pPr>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451AD993" w14:textId="77777777" w:rsidR="0094074D" w:rsidRDefault="0094074D" w:rsidP="0094074D">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3219C2FB" w14:textId="77777777" w:rsidR="0094074D" w:rsidRDefault="0094074D" w:rsidP="0094074D">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2159E436" w14:textId="77777777" w:rsidR="0094074D" w:rsidRDefault="0094074D" w:rsidP="0094074D">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094BAF8" w14:textId="77777777" w:rsidR="0094074D" w:rsidRDefault="0094074D" w:rsidP="0094074D">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34D57D48" w14:textId="77777777" w:rsidR="0094074D" w:rsidRDefault="0094074D" w:rsidP="0094074D">
      <w:pPr>
        <w:pStyle w:val="Bibliography"/>
      </w:pPr>
      <w:r>
        <w:lastRenderedPageBreak/>
        <w:t xml:space="preserve">Kelly, D. (1994) The evolutionary ecology of mast seeding. </w:t>
      </w:r>
      <w:r>
        <w:rPr>
          <w:i/>
          <w:iCs/>
        </w:rPr>
        <w:t>Trends in Ecology &amp; Evolution</w:t>
      </w:r>
      <w:r>
        <w:t xml:space="preserve">, </w:t>
      </w:r>
      <w:r>
        <w:rPr>
          <w:b/>
          <w:bCs/>
        </w:rPr>
        <w:t>9</w:t>
      </w:r>
      <w:r>
        <w:t>, 465–470.</w:t>
      </w:r>
    </w:p>
    <w:p w14:paraId="7D340E0A" w14:textId="77777777" w:rsidR="0094074D" w:rsidRDefault="0094074D" w:rsidP="0094074D">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510BA27F" w14:textId="77777777" w:rsidR="0094074D" w:rsidRDefault="0094074D" w:rsidP="0094074D">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4665CE8F" w14:textId="77777777" w:rsidR="0094074D" w:rsidRDefault="0094074D" w:rsidP="0094074D">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AB2176B" w14:textId="77777777" w:rsidR="0094074D" w:rsidRDefault="0094074D" w:rsidP="0094074D">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2D394B0C" w14:textId="77777777" w:rsidR="0094074D" w:rsidRDefault="0094074D" w:rsidP="0094074D">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0A00E9C6" w14:textId="77777777" w:rsidR="0094074D" w:rsidRDefault="0094074D" w:rsidP="0094074D">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6014FF4F" w14:textId="77777777" w:rsidR="0094074D" w:rsidRDefault="0094074D" w:rsidP="0094074D">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20936440" w14:textId="77777777" w:rsidR="0094074D" w:rsidRDefault="0094074D" w:rsidP="0094074D">
      <w:pPr>
        <w:pStyle w:val="Bibliography"/>
      </w:pPr>
      <w:r>
        <w:t xml:space="preserve">Lord, J.M. &amp; Westoby, M. (2006) Accessory costs of seed production. </w:t>
      </w:r>
      <w:r>
        <w:rPr>
          <w:i/>
          <w:iCs/>
        </w:rPr>
        <w:t>Oecologia</w:t>
      </w:r>
      <w:r>
        <w:t xml:space="preserve">, </w:t>
      </w:r>
      <w:r>
        <w:rPr>
          <w:b/>
          <w:bCs/>
        </w:rPr>
        <w:t>150</w:t>
      </w:r>
      <w:r>
        <w:t>, 310–317.</w:t>
      </w:r>
    </w:p>
    <w:p w14:paraId="5179A9F7" w14:textId="77777777" w:rsidR="0094074D" w:rsidRDefault="0094074D" w:rsidP="0094074D">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437A43D8" w14:textId="77777777" w:rsidR="0094074D" w:rsidRDefault="0094074D" w:rsidP="0094074D">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44898A83" w14:textId="77777777" w:rsidR="0094074D" w:rsidRDefault="0094074D" w:rsidP="0094074D">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6B93A3A5" w14:textId="77777777" w:rsidR="0094074D" w:rsidRDefault="0094074D" w:rsidP="0094074D">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19F9EBE7" w14:textId="77777777" w:rsidR="0094074D" w:rsidRDefault="0094074D" w:rsidP="0094074D">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23DBB33E" w14:textId="77777777" w:rsidR="0094074D" w:rsidRDefault="0094074D" w:rsidP="0094074D">
      <w:pPr>
        <w:pStyle w:val="Bibliography"/>
      </w:pPr>
      <w:r>
        <w:t xml:space="preserve">Mock, D.W. &amp; Forbes, L.S. (1995) The evolution of parental optimism. </w:t>
      </w:r>
      <w:r>
        <w:rPr>
          <w:i/>
          <w:iCs/>
        </w:rPr>
        <w:t>Trends in Ecology &amp; Evolution</w:t>
      </w:r>
      <w:r>
        <w:t xml:space="preserve">, </w:t>
      </w:r>
      <w:r>
        <w:rPr>
          <w:b/>
          <w:bCs/>
        </w:rPr>
        <w:t>10</w:t>
      </w:r>
      <w:r>
        <w:t>, 130–134.</w:t>
      </w:r>
    </w:p>
    <w:p w14:paraId="3E781F73" w14:textId="77777777" w:rsidR="0094074D" w:rsidRDefault="0094074D" w:rsidP="0094074D">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215B5506" w14:textId="77777777" w:rsidR="0094074D" w:rsidRDefault="0094074D" w:rsidP="0094074D">
      <w:pPr>
        <w:pStyle w:val="Bibliography"/>
      </w:pPr>
      <w:r>
        <w:lastRenderedPageBreak/>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7D97D47" w14:textId="77777777" w:rsidR="0094074D" w:rsidRDefault="0094074D" w:rsidP="0094074D">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7DA7EC2C" w14:textId="77777777" w:rsidR="0094074D" w:rsidRDefault="0094074D" w:rsidP="0094074D">
      <w:pPr>
        <w:pStyle w:val="Bibliography"/>
      </w:pPr>
      <w:r>
        <w:t xml:space="preserve">Moles, A.T. &amp; Westoby, M. (2006) Seed size and plant strategy across the whole life cycle. </w:t>
      </w:r>
      <w:r>
        <w:rPr>
          <w:i/>
          <w:iCs/>
        </w:rPr>
        <w:t>Oikos</w:t>
      </w:r>
      <w:r>
        <w:t xml:space="preserve">, </w:t>
      </w:r>
      <w:r>
        <w:rPr>
          <w:b/>
          <w:bCs/>
        </w:rPr>
        <w:t>113</w:t>
      </w:r>
      <w:r>
        <w:t>, 91–105.</w:t>
      </w:r>
    </w:p>
    <w:p w14:paraId="2E1C5CF4" w14:textId="77777777" w:rsidR="0094074D" w:rsidRDefault="0094074D" w:rsidP="0094074D">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1126D7FB" w14:textId="77777777" w:rsidR="0094074D" w:rsidRDefault="0094074D" w:rsidP="0094074D">
      <w:pPr>
        <w:pStyle w:val="Bibliography"/>
      </w:pPr>
      <w:r>
        <w:t xml:space="preserve">NSW Office of the Environment. (2006) </w:t>
      </w:r>
      <w:r>
        <w:rPr>
          <w:i/>
          <w:iCs/>
        </w:rPr>
        <w:t>Ku-Ring-Gai Chase National Park Fire Management Strategy</w:t>
      </w:r>
      <w:r>
        <w:t>.</w:t>
      </w:r>
    </w:p>
    <w:p w14:paraId="1A387BC6" w14:textId="77777777" w:rsidR="0094074D" w:rsidRDefault="0094074D" w:rsidP="0094074D">
      <w:pPr>
        <w:pStyle w:val="Bibliography"/>
      </w:pPr>
      <w:r>
        <w:t xml:space="preserve">Obeso, J.R. (2002) The costs of reproduction in plants. </w:t>
      </w:r>
      <w:r>
        <w:rPr>
          <w:i/>
          <w:iCs/>
        </w:rPr>
        <w:t>New Phytologist</w:t>
      </w:r>
      <w:r>
        <w:t xml:space="preserve">, </w:t>
      </w:r>
      <w:r>
        <w:rPr>
          <w:b/>
          <w:bCs/>
        </w:rPr>
        <w:t>155</w:t>
      </w:r>
      <w:r>
        <w:t>, 321–348.</w:t>
      </w:r>
    </w:p>
    <w:p w14:paraId="03F10844" w14:textId="77777777" w:rsidR="0094074D" w:rsidRDefault="0094074D" w:rsidP="0094074D">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50D6C80F" w14:textId="77777777" w:rsidR="0094074D" w:rsidRDefault="0094074D" w:rsidP="0094074D">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AC5B97F" w14:textId="77777777" w:rsidR="0094074D" w:rsidRDefault="0094074D" w:rsidP="0094074D">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E6A1301" w14:textId="77777777" w:rsidR="0094074D" w:rsidRDefault="0094074D" w:rsidP="0094074D">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7667ED58" w14:textId="77777777" w:rsidR="0094074D" w:rsidRDefault="0094074D" w:rsidP="0094074D">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0C093D09" w14:textId="77777777" w:rsidR="0094074D" w:rsidRDefault="0094074D" w:rsidP="0094074D">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597743AE" w14:textId="77777777" w:rsidR="0094074D" w:rsidRDefault="0094074D" w:rsidP="0094074D">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4F6C5A01" w14:textId="77777777" w:rsidR="0094074D" w:rsidRDefault="0094074D" w:rsidP="0094074D">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AC5B281" w14:textId="77777777" w:rsidR="0094074D" w:rsidRDefault="0094074D" w:rsidP="0094074D">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5D5DC60B" w14:textId="77777777" w:rsidR="0094074D" w:rsidRDefault="0094074D" w:rsidP="0094074D">
      <w:pPr>
        <w:pStyle w:val="Bibliography"/>
      </w:pPr>
      <w:r>
        <w:t xml:space="preserve">Rosenheim, J.A., Schreiber, S.J. &amp; Williams, N.M. (2015) Does an “oversupply” of ovules cause pollen limitation? </w:t>
      </w:r>
      <w:r>
        <w:rPr>
          <w:i/>
          <w:iCs/>
        </w:rPr>
        <w:t>New Phytologist</w:t>
      </w:r>
      <w:r>
        <w:t>, n/a-n/a.</w:t>
      </w:r>
    </w:p>
    <w:p w14:paraId="71838343" w14:textId="77777777" w:rsidR="0094074D" w:rsidRDefault="0094074D" w:rsidP="0094074D">
      <w:pPr>
        <w:pStyle w:val="Bibliography"/>
      </w:pPr>
      <w:r>
        <w:lastRenderedPageBreak/>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5D4F976D" w14:textId="77777777" w:rsidR="0094074D" w:rsidRDefault="0094074D" w:rsidP="0094074D">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517114A0" w14:textId="77777777" w:rsidR="0094074D" w:rsidRDefault="0094074D" w:rsidP="0094074D">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7A312AC5" w14:textId="77777777" w:rsidR="0094074D" w:rsidRDefault="0094074D" w:rsidP="0094074D">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4B42AFF1" w14:textId="77777777" w:rsidR="0094074D" w:rsidRDefault="0094074D" w:rsidP="0094074D">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58648B70" w14:textId="77777777" w:rsidR="0094074D" w:rsidRDefault="0094074D" w:rsidP="0094074D">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24462E31" w14:textId="77777777" w:rsidR="0094074D" w:rsidRDefault="0094074D" w:rsidP="0094074D">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3366D3DC" w14:textId="77777777" w:rsidR="0094074D" w:rsidRDefault="0094074D" w:rsidP="0094074D">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0ADA7265" w14:textId="77777777" w:rsidR="0094074D" w:rsidRDefault="0094074D" w:rsidP="0094074D">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79634D80" w14:textId="77777777" w:rsidR="0094074D" w:rsidRDefault="0094074D" w:rsidP="0094074D">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71A12C45" w14:textId="77777777" w:rsidR="0094074D" w:rsidRDefault="0094074D" w:rsidP="0094074D">
      <w:pPr>
        <w:pStyle w:val="Bibliography"/>
      </w:pPr>
      <w:r>
        <w:t xml:space="preserve">Sutherland, S. (1986) Patterns of fruit-set: what controls fruit-flower ratios in plants? </w:t>
      </w:r>
      <w:r>
        <w:rPr>
          <w:i/>
          <w:iCs/>
        </w:rPr>
        <w:t>Evolution</w:t>
      </w:r>
      <w:r>
        <w:t xml:space="preserve">, </w:t>
      </w:r>
      <w:r>
        <w:rPr>
          <w:b/>
          <w:bCs/>
        </w:rPr>
        <w:t>40</w:t>
      </w:r>
      <w:r>
        <w:t>, 117–128.</w:t>
      </w:r>
    </w:p>
    <w:p w14:paraId="4F2C4E2C" w14:textId="77777777" w:rsidR="0094074D" w:rsidRDefault="0094074D" w:rsidP="0094074D">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71BFD89B" w14:textId="77777777" w:rsidR="0094074D" w:rsidRDefault="0094074D" w:rsidP="0094074D">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67E59E5A" w14:textId="77777777" w:rsidR="0094074D" w:rsidRDefault="0094074D" w:rsidP="0094074D">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EF8E033" w14:textId="77777777" w:rsidR="0094074D" w:rsidRDefault="0094074D" w:rsidP="0094074D">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5CBDE7E1" w14:textId="77777777" w:rsidR="0094074D" w:rsidRDefault="0094074D" w:rsidP="0094074D">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7C759D8B" w14:textId="77777777" w:rsidR="0094074D" w:rsidRDefault="0094074D" w:rsidP="0094074D">
      <w:pPr>
        <w:pStyle w:val="Bibliography"/>
      </w:pPr>
      <w:r>
        <w:lastRenderedPageBreak/>
        <w:t xml:space="preserve">Willson, M.F. &amp; Burley, N. (1983) </w:t>
      </w:r>
      <w:r>
        <w:rPr>
          <w:i/>
          <w:iCs/>
        </w:rPr>
        <w:t>Mate Choice in Plants: Tactics, Mechanisms, and Consequences</w:t>
      </w:r>
      <w:r>
        <w:t>. Princeton University Press.</w:t>
      </w:r>
    </w:p>
    <w:p w14:paraId="4729D289" w14:textId="77777777" w:rsidR="0094074D" w:rsidRDefault="0094074D" w:rsidP="0094074D">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D0917" w:rsidRDefault="00FD091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D0917" w:rsidRDefault="00FD091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D0917" w:rsidRDefault="00FD0917">
      <w:pPr>
        <w:pStyle w:val="CommentText"/>
      </w:pPr>
    </w:p>
  </w:comment>
  <w:comment w:id="1" w:author="Daniel Falster" w:date="2016-08-29T13:12:00Z" w:initials="DF">
    <w:p w14:paraId="2AAADB8C" w14:textId="570732B9" w:rsidR="00FD0917" w:rsidRDefault="00FD0917">
      <w:pPr>
        <w:pStyle w:val="CommentText"/>
      </w:pPr>
      <w:r>
        <w:rPr>
          <w:rStyle w:val="CommentReference"/>
        </w:rPr>
        <w:annotationRef/>
      </w:r>
      <w:r w:rsidRPr="003C3342">
        <w:t>http://www.journals.uchicago.edu/journals/an/instruct</w:t>
      </w:r>
    </w:p>
    <w:p w14:paraId="4A31C510" w14:textId="42B35B96" w:rsidR="00FD0917" w:rsidRDefault="00FD0917">
      <w:pPr>
        <w:pStyle w:val="CommentText"/>
      </w:pPr>
      <w:r w:rsidRPr="003C3342">
        <w:t>21 manuscript pages or fewer of text, not includin</w:t>
      </w:r>
      <w:r>
        <w:t>g the literature cited,</w:t>
      </w:r>
      <w:r w:rsidRPr="003C3342">
        <w:t xml:space="preserve"> no more than six tables and/or figures</w:t>
      </w:r>
    </w:p>
  </w:comment>
  <w:comment w:id="2" w:author="Dr Elizabeth Wenk " w:date="2016-12-01T15:23:00Z" w:initials="DEW">
    <w:p w14:paraId="5E007BC3" w14:textId="6BD3253D" w:rsidR="00262A45" w:rsidRDefault="00262A45">
      <w:pPr>
        <w:pStyle w:val="CommentText"/>
      </w:pPr>
      <w:r>
        <w:rPr>
          <w:rStyle w:val="CommentReference"/>
        </w:rPr>
        <w:annotationRef/>
      </w:r>
      <w:r>
        <w:t>Remove to shorten?</w:t>
      </w:r>
    </w:p>
  </w:comment>
  <w:comment w:id="3" w:author="Dr Elizabeth Wenk " w:date="2016-12-01T15:26:00Z" w:initials="DEW">
    <w:p w14:paraId="6923C1C5" w14:textId="3B7A7CEF" w:rsidR="00262A45" w:rsidRDefault="00262A45">
      <w:pPr>
        <w:pStyle w:val="CommentText"/>
      </w:pPr>
      <w:r>
        <w:rPr>
          <w:rStyle w:val="CommentReference"/>
        </w:rPr>
        <w:annotationRef/>
      </w:r>
      <w:r>
        <w:t>Remove to shorten?</w:t>
      </w:r>
    </w:p>
  </w:comment>
  <w:comment w:id="4" w:author="Dr Elizabeth Wenk  [2]" w:date="2016-12-16T12:29:00Z" w:initials="DEW">
    <w:p w14:paraId="3E8C59BF" w14:textId="6620047B" w:rsidR="00330C68" w:rsidRDefault="00330C68">
      <w:pPr>
        <w:pStyle w:val="CommentText"/>
      </w:pPr>
      <w:r>
        <w:rPr>
          <w:rStyle w:val="CommentReference"/>
        </w:rPr>
        <w:annotationRef/>
      </w:r>
      <w:r>
        <w:t>More description on how trade-offs linked, yet separate; evolutionary linked, but separate trade-offs because deal with difference resources</w:t>
      </w:r>
    </w:p>
    <w:p w14:paraId="0B1CACDB" w14:textId="6BBBB10B" w:rsidR="00330C68" w:rsidRDefault="00330C68">
      <w:pPr>
        <w:pStyle w:val="CommentText"/>
      </w:pPr>
      <w:r>
        <w:t>Don’t include detailed of how their entwined, but foreshadow that they will be; makes roadmap of where section is headed</w:t>
      </w:r>
    </w:p>
    <w:p w14:paraId="017B215E" w14:textId="77777777" w:rsidR="00330C68" w:rsidRDefault="00330C68">
      <w:pPr>
        <w:pStyle w:val="CommentText"/>
      </w:pPr>
    </w:p>
  </w:comment>
  <w:comment w:id="5" w:author="Mark Westoby" w:date="2016-12-13T15:21:00Z" w:initials="MW">
    <w:p w14:paraId="57EC7E45" w14:textId="77777777" w:rsidR="0015698B" w:rsidRDefault="0015698B" w:rsidP="0015698B">
      <w:pPr>
        <w:pStyle w:val="CommentText"/>
      </w:pPr>
      <w:r>
        <w:rPr>
          <w:rStyle w:val="CommentReference"/>
        </w:rPr>
        <w:annotationRef/>
      </w:r>
      <w:proofErr w:type="gramStart"/>
      <w:r>
        <w:t>this</w:t>
      </w:r>
      <w:proofErr w:type="gramEnd"/>
      <w:r>
        <w:t xml:space="preserve"> is 1b also? -- I think I'm getting </w:t>
      </w:r>
      <w:proofErr w:type="gramStart"/>
      <w:r>
        <w:t>lost .....</w:t>
      </w:r>
      <w:proofErr w:type="gramEnd"/>
      <w:r>
        <w:t xml:space="preserve"> </w:t>
      </w:r>
      <w:proofErr w:type="gramStart"/>
      <w:r>
        <w:t>don't</w:t>
      </w:r>
      <w:proofErr w:type="gramEnd"/>
      <w:r>
        <w:t xml:space="preserve"> graphs need to share a common x axis?</w:t>
      </w:r>
    </w:p>
  </w:comment>
  <w:comment w:id="6" w:author="Mark Westoby" w:date="2016-12-13T11:49:00Z" w:initials="MW">
    <w:p w14:paraId="247C0D4D" w14:textId="77777777" w:rsidR="0015698B" w:rsidRDefault="0015698B" w:rsidP="0015698B">
      <w:pPr>
        <w:pStyle w:val="CommentText"/>
      </w:pPr>
      <w:r>
        <w:rPr>
          <w:rStyle w:val="CommentReference"/>
        </w:rPr>
        <w:annotationRef/>
      </w:r>
      <w:proofErr w:type="gramStart"/>
      <w:r>
        <w:t>ensuing</w:t>
      </w:r>
      <w:proofErr w:type="gramEnd"/>
      <w:r>
        <w:t xml:space="preserve"> structure doesn't seem quite right. First of the two has a bold header but second doesn't. Then needs to be clear when you've finished with these two sub-trade-offs, and come back to treating them as a single spectrum </w:t>
      </w:r>
    </w:p>
  </w:comment>
  <w:comment w:id="7" w:author="Dr Elizabeth Wenk " w:date="2016-12-15T10:54:00Z" w:initials="DEW">
    <w:p w14:paraId="33436733" w14:textId="147DC8B4" w:rsidR="004F6B6D" w:rsidRDefault="004F6B6D">
      <w:pPr>
        <w:pStyle w:val="CommentText"/>
      </w:pPr>
      <w:r>
        <w:rPr>
          <w:rStyle w:val="CommentReference"/>
        </w:rPr>
        <w:annotationRef/>
      </w:r>
      <w:r>
        <w:t xml:space="preserve">Mark: surely not? -- </w:t>
      </w:r>
      <w:proofErr w:type="gramStart"/>
      <w:r>
        <w:t>if</w:t>
      </w:r>
      <w:proofErr w:type="gramEnd"/>
      <w:r>
        <w:t xml:space="preserve"> anything species with high per-ovule investment in pollen-attraction should experience less pollen limitation</w:t>
      </w:r>
    </w:p>
    <w:p w14:paraId="38894FC6" w14:textId="48687CF1" w:rsidR="004F6B6D" w:rsidRDefault="004F6B6D">
      <w:pPr>
        <w:pStyle w:val="CommentText"/>
      </w:pPr>
      <w:r>
        <w:t>Lizzy: I agree, this is the argument in the literature; probably just leave out?</w:t>
      </w:r>
    </w:p>
  </w:comment>
  <w:comment w:id="15" w:author="Mark Westoby" w:date="2016-12-14T14:40:00Z" w:initials="MW">
    <w:p w14:paraId="6564BF30" w14:textId="77777777" w:rsidR="00FF1706" w:rsidRDefault="00FF1706" w:rsidP="00FF1706">
      <w:pPr>
        <w:pStyle w:val="CommentText"/>
      </w:pPr>
      <w:r>
        <w:rPr>
          <w:rStyle w:val="CommentReference"/>
        </w:rPr>
        <w:annotationRef/>
      </w:r>
      <w:r>
        <w:t>I think the word "fixed" may be inviting criticism -- see my comments on Intro for suggested alternative ways to phrase this idea</w:t>
      </w:r>
    </w:p>
  </w:comment>
  <w:comment w:id="16" w:author="Dr Elizabeth Wenk " w:date="2016-12-01T15:41:00Z" w:initials="DEW">
    <w:p w14:paraId="65079277" w14:textId="77777777" w:rsidR="00FF1706" w:rsidRDefault="00FF1706" w:rsidP="00FF1706">
      <w:pPr>
        <w:pStyle w:val="CommentText"/>
      </w:pPr>
      <w:r>
        <w:rPr>
          <w:rStyle w:val="CommentReference"/>
        </w:rPr>
        <w:annotationRef/>
      </w:r>
      <w:r>
        <w:t>Daniel, you indicated refs here, but I think this would be the same as the references for seed size-count.</w:t>
      </w:r>
    </w:p>
  </w:comment>
  <w:comment w:id="17" w:author="Mark Westoby" w:date="2016-12-14T14:42:00Z" w:initials="MW">
    <w:p w14:paraId="6E8ACCFF" w14:textId="77777777" w:rsidR="00FF1706" w:rsidRDefault="00FF1706" w:rsidP="00FF1706">
      <w:pPr>
        <w:pStyle w:val="CommentText"/>
      </w:pPr>
      <w:r>
        <w:rPr>
          <w:rStyle w:val="CommentReference"/>
        </w:rPr>
        <w:annotationRef/>
      </w:r>
      <w:proofErr w:type="gramStart"/>
      <w:r>
        <w:t>something</w:t>
      </w:r>
      <w:proofErr w:type="gramEnd"/>
      <w:r>
        <w:t xml:space="preserve"> gone wrong with the connections here</w:t>
      </w:r>
    </w:p>
  </w:comment>
  <w:comment w:id="18" w:author="Mark Westoby" w:date="2016-12-14T17:03:00Z" w:initials="MW">
    <w:p w14:paraId="5DE756CF" w14:textId="77777777" w:rsidR="00FF1706" w:rsidRDefault="00FF1706" w:rsidP="00FF1706">
      <w:pPr>
        <w:pStyle w:val="CommentText"/>
      </w:pPr>
      <w:r>
        <w:rPr>
          <w:rStyle w:val="CommentReference"/>
        </w:rPr>
        <w:annotationRef/>
      </w:r>
      <w:r>
        <w:t>I don't see total reproductive costs in Table 2</w:t>
      </w:r>
    </w:p>
    <w:p w14:paraId="0EFA2CED" w14:textId="77777777" w:rsidR="00FF1706" w:rsidRDefault="00FF1706" w:rsidP="00FF1706">
      <w:pPr>
        <w:pStyle w:val="CommentText"/>
      </w:pPr>
    </w:p>
    <w:p w14:paraId="2E9A3EE4" w14:textId="77777777" w:rsidR="00FF1706" w:rsidRDefault="00FF1706" w:rsidP="00FF1706">
      <w:pPr>
        <w:pStyle w:val="CommentText"/>
      </w:pPr>
      <w:r>
        <w:t>Was looking to see how substantially steeper than 1 was the slope -- how strongly does it contradict the previous literature</w:t>
      </w:r>
    </w:p>
    <w:p w14:paraId="6E6B6C8B" w14:textId="77777777" w:rsidR="00FF1706" w:rsidRDefault="00FF1706" w:rsidP="00FF1706">
      <w:pPr>
        <w:pStyle w:val="CommentText"/>
      </w:pPr>
    </w:p>
    <w:p w14:paraId="2A3007C9" w14:textId="77777777" w:rsidR="00FF1706" w:rsidRDefault="00FF1706" w:rsidP="00FF1706">
      <w:pPr>
        <w:pStyle w:val="CommentText"/>
      </w:pPr>
      <w:proofErr w:type="gramStart"/>
      <w:r>
        <w:t>however</w:t>
      </w:r>
      <w:proofErr w:type="gramEnd"/>
      <w:r>
        <w:t xml:space="preserve"> I think the previous literature mainly takes the form of accessory costs plotted vs seed size? (</w:t>
      </w:r>
      <w:proofErr w:type="gramStart"/>
      <w:r>
        <w:t>old</w:t>
      </w:r>
      <w:proofErr w:type="gramEnd"/>
      <w:r>
        <w:t xml:space="preserve"> meaning of seed size)</w:t>
      </w:r>
    </w:p>
  </w:comment>
  <w:comment w:id="19" w:author="Mark Westoby" w:date="2016-12-14T17:01:00Z" w:initials="MW">
    <w:p w14:paraId="0FA76418" w14:textId="77777777" w:rsidR="00FF1706" w:rsidRDefault="00FF1706" w:rsidP="00FF1706">
      <w:pPr>
        <w:pStyle w:val="CommentText"/>
      </w:pPr>
      <w:r>
        <w:rPr>
          <w:rStyle w:val="CommentReference"/>
        </w:rPr>
        <w:annotationRef/>
      </w:r>
      <w:proofErr w:type="gramStart"/>
      <w:r>
        <w:t>from</w:t>
      </w:r>
      <w:proofErr w:type="gramEnd"/>
      <w:r>
        <w:t xml:space="preserve"> memory each of these had quite a lot of scatter; that's why I've suggested the rephrasing </w:t>
      </w:r>
    </w:p>
    <w:p w14:paraId="23B7976E" w14:textId="77777777" w:rsidR="00FF1706" w:rsidRDefault="00FF1706" w:rsidP="00FF1706">
      <w:pPr>
        <w:pStyle w:val="CommentText"/>
      </w:pPr>
    </w:p>
    <w:p w14:paraId="55391EF7" w14:textId="77777777" w:rsidR="00FF1706" w:rsidRDefault="00FF1706" w:rsidP="00FF1706">
      <w:pPr>
        <w:pStyle w:val="CommentText"/>
      </w:pPr>
      <w:proofErr w:type="gramStart"/>
      <w:r>
        <w:t>e.g</w:t>
      </w:r>
      <w:proofErr w:type="gramEnd"/>
      <w:r>
        <w:t xml:space="preserve">. in L&amp;W 2012, upper CI of the slope in </w:t>
      </w:r>
      <w:proofErr w:type="spellStart"/>
      <w:r>
        <w:t>angios</w:t>
      </w:r>
      <w:proofErr w:type="spellEnd"/>
      <w:r>
        <w:t xml:space="preserve"> is 1.65, which is not clearly different from results in Table 2 </w:t>
      </w:r>
    </w:p>
  </w:comment>
  <w:comment w:id="20" w:author="Mark Westoby" w:date="2016-12-14T17:17:00Z" w:initials="MW">
    <w:p w14:paraId="0B65D8ED" w14:textId="77777777" w:rsidR="00FF1706" w:rsidRDefault="00FF1706" w:rsidP="00FF1706">
      <w:pPr>
        <w:pStyle w:val="CommentText"/>
      </w:pPr>
      <w:r>
        <w:rPr>
          <w:rStyle w:val="CommentReference"/>
        </w:rPr>
        <w:annotationRef/>
      </w:r>
      <w:proofErr w:type="gramStart"/>
      <w:r>
        <w:t>this</w:t>
      </w:r>
      <w:proofErr w:type="gramEnd"/>
      <w:r>
        <w:t xml:space="preserve"> form of words surely can't possibly be right</w:t>
      </w:r>
    </w:p>
    <w:p w14:paraId="5D3FC4DA" w14:textId="77777777" w:rsidR="00FF1706" w:rsidRDefault="00FF1706" w:rsidP="00FF1706">
      <w:pPr>
        <w:pStyle w:val="CommentText"/>
      </w:pPr>
    </w:p>
    <w:p w14:paraId="726FC758" w14:textId="77777777" w:rsidR="00FF1706" w:rsidRDefault="00FF1706" w:rsidP="00FF1706">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453F673D" w14:textId="77777777" w:rsidR="00FF1706" w:rsidRDefault="00FF1706" w:rsidP="00FF1706">
      <w:pPr>
        <w:pStyle w:val="CommentText"/>
      </w:pPr>
    </w:p>
    <w:p w14:paraId="2C687B22" w14:textId="77777777" w:rsidR="00FF1706" w:rsidRDefault="00FF1706" w:rsidP="00FF1706">
      <w:pPr>
        <w:pStyle w:val="CommentText"/>
      </w:pPr>
      <w:r>
        <w:t xml:space="preserve">This somehow connects to the closing para of the sentence dealing with higher per seedling survivorship from large seeds. This is very well documented by direct evidence, but I don't really see how the </w:t>
      </w:r>
      <w:proofErr w:type="spellStart"/>
      <w:r>
        <w:t>allometries</w:t>
      </w:r>
      <w:proofErr w:type="spellEnd"/>
      <w:r>
        <w:t xml:space="preserve"> from Table 2 or Fig 2f add much to the evidence for it.</w:t>
      </w:r>
    </w:p>
    <w:p w14:paraId="3F489760" w14:textId="77777777" w:rsidR="00FF1706" w:rsidRDefault="00FF1706" w:rsidP="00FF1706">
      <w:pPr>
        <w:pStyle w:val="CommentText"/>
      </w:pPr>
    </w:p>
    <w:p w14:paraId="5EE4176A" w14:textId="77777777" w:rsidR="00FF1706" w:rsidRDefault="00FF1706" w:rsidP="00FF1706">
      <w:pPr>
        <w:pStyle w:val="CommentText"/>
      </w:pPr>
      <w:r>
        <w:t>I feel this whole para needs rewriting, but I'm not clear enough in my mind about where it's going to suggest a rewrite at this stage</w:t>
      </w:r>
    </w:p>
    <w:p w14:paraId="6F6319AB" w14:textId="77777777" w:rsidR="00FF1706" w:rsidRDefault="00FF1706" w:rsidP="00FF1706">
      <w:pPr>
        <w:pStyle w:val="CommentText"/>
      </w:pPr>
    </w:p>
  </w:comment>
  <w:comment w:id="21" w:author="Mark Westoby" w:date="2016-12-14T17:52:00Z" w:initials="MW">
    <w:p w14:paraId="47DC9EFF" w14:textId="77777777" w:rsidR="00FF1706" w:rsidRDefault="00FF1706" w:rsidP="00FF1706">
      <w:pPr>
        <w:pStyle w:val="CommentText"/>
      </w:pPr>
      <w:r>
        <w:rPr>
          <w:rStyle w:val="CommentReference"/>
        </w:rPr>
        <w:annotationRef/>
      </w:r>
      <w:proofErr w:type="gramStart"/>
      <w:r>
        <w:t>is</w:t>
      </w:r>
      <w:proofErr w:type="gramEnd"/>
      <w:r>
        <w:t xml:space="preserve"> RA different from RE? -- </w:t>
      </w:r>
      <w:proofErr w:type="gramStart"/>
      <w:r>
        <w:t>if</w:t>
      </w:r>
      <w:proofErr w:type="gramEnd"/>
      <w:r>
        <w:t xml:space="preserve"> so, I've completely lost track and don't know what distinction is being made here</w:t>
      </w:r>
    </w:p>
  </w:comment>
  <w:comment w:id="22" w:author="Mark Westoby" w:date="2016-12-14T17:56:00Z" w:initials="MW">
    <w:p w14:paraId="75CC696F" w14:textId="77777777" w:rsidR="00FF1706" w:rsidRDefault="00FF1706" w:rsidP="00FF1706">
      <w:pPr>
        <w:pStyle w:val="CommentText"/>
      </w:pPr>
      <w:r>
        <w:rPr>
          <w:rStyle w:val="CommentReference"/>
        </w:rPr>
        <w:annotationRef/>
      </w:r>
      <w:proofErr w:type="gramStart"/>
      <w:r>
        <w:t>reviewers</w:t>
      </w:r>
      <w:proofErr w:type="gramEnd"/>
      <w:r>
        <w:t xml:space="preserve"> might expect to see a couple </w:t>
      </w:r>
      <w:proofErr w:type="spellStart"/>
      <w:r>
        <w:t>fo</w:t>
      </w:r>
      <w:proofErr w:type="spellEnd"/>
      <w:r>
        <w:t xml:space="preserve"> recent reviews cited here?</w:t>
      </w:r>
    </w:p>
  </w:comment>
  <w:comment w:id="23" w:author="Mark Westoby" w:date="2016-12-15T12:58:00Z" w:initials="MW">
    <w:p w14:paraId="3DF5CE7F" w14:textId="77777777" w:rsidR="00FF1706" w:rsidRDefault="00FF1706" w:rsidP="00FF1706">
      <w:pPr>
        <w:pStyle w:val="CommentText"/>
      </w:pPr>
      <w:r>
        <w:rPr>
          <w:rStyle w:val="CommentReference"/>
        </w:rPr>
        <w:annotationRef/>
      </w:r>
      <w:r>
        <w:t>I think I don't understand why "measured at individual level" is a contrast with "estimated from RE"</w:t>
      </w:r>
    </w:p>
  </w:comment>
  <w:comment w:id="24" w:author="Dr Elizabeth Wenk " w:date="2016-12-01T15:59:00Z" w:initials="DEW">
    <w:p w14:paraId="19FFABB1" w14:textId="77777777" w:rsidR="00FF1706" w:rsidRDefault="00FF1706" w:rsidP="00FF1706">
      <w:pPr>
        <w:pStyle w:val="CommentText"/>
      </w:pPr>
      <w:r>
        <w:rPr>
          <w:rStyle w:val="CommentReference"/>
        </w:rPr>
        <w:annotationRef/>
      </w:r>
      <w:r>
        <w:t xml:space="preserve">Should I include in </w:t>
      </w:r>
      <w:proofErr w:type="spellStart"/>
      <w:r>
        <w:t>Supp</w:t>
      </w:r>
      <w:proofErr w:type="spellEnd"/>
      <w:r>
        <w:t xml:space="preserve"> Material? </w:t>
      </w:r>
    </w:p>
    <w:p w14:paraId="006A58B5" w14:textId="77777777" w:rsidR="00FF1706" w:rsidRDefault="00FF1706" w:rsidP="00FF1706">
      <w:pPr>
        <w:pStyle w:val="CommentText"/>
      </w:pPr>
      <w:r>
        <w:t>MW: Yes, I think that could be helpful</w:t>
      </w:r>
    </w:p>
  </w:comment>
  <w:comment w:id="25" w:author="Mark Westoby" w:date="2016-12-15T13:11:00Z" w:initials="MW">
    <w:p w14:paraId="0AD9BC19" w14:textId="77777777" w:rsidR="00FF1706" w:rsidRDefault="00FF1706" w:rsidP="00FF1706">
      <w:pPr>
        <w:pStyle w:val="CommentText"/>
      </w:pPr>
      <w:r>
        <w:rPr>
          <w:rStyle w:val="CommentReference"/>
        </w:rPr>
        <w:annotationRef/>
      </w:r>
      <w:proofErr w:type="gramStart"/>
      <w:r>
        <w:t>title</w:t>
      </w:r>
      <w:proofErr w:type="gramEnd"/>
      <w:r>
        <w:t xml:space="preserve"> seems unenlightening -- maybe Other considerations?</w:t>
      </w:r>
      <w:r w:rsidRPr="001560B2">
        <w:t xml:space="preserve"> </w:t>
      </w:r>
      <w:r>
        <w:t>Or Methodological Considerations?</w:t>
      </w:r>
    </w:p>
    <w:p w14:paraId="5E11C23B" w14:textId="77777777" w:rsidR="00FF1706" w:rsidRDefault="00FF1706" w:rsidP="00FF1706">
      <w:pPr>
        <w:pStyle w:val="CommentText"/>
      </w:pPr>
    </w:p>
    <w:p w14:paraId="6A552AC9" w14:textId="77777777" w:rsidR="00FF1706" w:rsidRDefault="00FF1706" w:rsidP="00FF1706">
      <w:pPr>
        <w:pStyle w:val="CommentText"/>
      </w:pPr>
    </w:p>
  </w:comment>
  <w:comment w:id="26" w:author="Mark Westoby" w:date="2016-12-15T13:18:00Z" w:initials="MW">
    <w:p w14:paraId="60573EFA" w14:textId="77777777" w:rsidR="00FF1706" w:rsidRDefault="00FF1706" w:rsidP="00FF1706">
      <w:pPr>
        <w:pStyle w:val="CommentText"/>
      </w:pPr>
      <w:r>
        <w:rPr>
          <w:rStyle w:val="CommentReference"/>
        </w:rPr>
        <w:annotationRef/>
      </w:r>
      <w:r>
        <w:t>Is that what you meant? -- to me the issue isn't whether P affects energy allocation -- in that event energy allocation would still be the right measure -- it's whether P allocation would be more enlightening</w:t>
      </w:r>
    </w:p>
  </w:comment>
  <w:comment w:id="27" w:author="Mark Westoby" w:date="2016-12-15T13:55:00Z" w:initials="MW">
    <w:p w14:paraId="0E17F47C" w14:textId="77777777" w:rsidR="00FF1706" w:rsidRDefault="00FF1706" w:rsidP="00FF1706">
      <w:pPr>
        <w:pStyle w:val="CommentText"/>
      </w:pPr>
      <w:r>
        <w:rPr>
          <w:rStyle w:val="CommentReference"/>
        </w:rPr>
        <w:annotationRef/>
      </w:r>
      <w:proofErr w:type="gramStart"/>
      <w:r>
        <w:t>meaning</w:t>
      </w:r>
      <w:proofErr w:type="gramEnd"/>
      <w:r>
        <w:t xml:space="preserve"> excluded if they photosynthesized? -- </w:t>
      </w:r>
      <w:proofErr w:type="gramStart"/>
      <w:r>
        <w:t>no</w:t>
      </w:r>
      <w:proofErr w:type="gramEnd"/>
      <w:r>
        <w:t>, I don't think that's what you did</w:t>
      </w:r>
    </w:p>
  </w:comment>
  <w:comment w:id="29" w:author="Mark Westoby" w:date="2016-12-15T14:09:00Z" w:initials="MW">
    <w:p w14:paraId="480AEF98" w14:textId="77777777" w:rsidR="00FF1706" w:rsidRDefault="00FF1706" w:rsidP="00FF1706">
      <w:pPr>
        <w:pStyle w:val="CommentText"/>
      </w:pPr>
      <w:r>
        <w:rPr>
          <w:rStyle w:val="CommentReference"/>
        </w:rPr>
        <w:annotationRef/>
      </w:r>
      <w:proofErr w:type="gramStart"/>
      <w:r>
        <w:t>doesn't</w:t>
      </w:r>
      <w:proofErr w:type="gramEnd"/>
      <w:r>
        <w:t xml:space="preserve"> seem to follow -- if they're self-compatible, doesn't that make pollen limitation less likely?</w:t>
      </w:r>
    </w:p>
  </w:comment>
  <w:comment w:id="30" w:author="Mark Westoby" w:date="2016-12-15T14:11:00Z" w:initials="MW">
    <w:p w14:paraId="66967D0C" w14:textId="77777777" w:rsidR="00FF1706" w:rsidRDefault="00FF1706" w:rsidP="00FF1706">
      <w:pPr>
        <w:pStyle w:val="CommentText"/>
      </w:pPr>
      <w:r>
        <w:rPr>
          <w:rStyle w:val="CommentReference"/>
        </w:rPr>
        <w:annotationRef/>
      </w:r>
      <w:proofErr w:type="gramStart"/>
      <w:r>
        <w:t>not</w:t>
      </w:r>
      <w:proofErr w:type="gramEnd"/>
      <w:r>
        <w:t xml:space="preserve"> very clear to me what's the point of this para's discussion of Proteaceae -- is the idea that results from these </w:t>
      </w:r>
      <w:proofErr w:type="spellStart"/>
      <w:r>
        <w:t>spp</w:t>
      </w:r>
      <w:proofErr w:type="spellEnd"/>
      <w:r>
        <w:t xml:space="preserve"> may be atypical?</w:t>
      </w:r>
    </w:p>
  </w:comment>
  <w:comment w:id="31" w:author="Dr Elizabeth Wenk " w:date="2016-12-01T15:41:00Z" w:initials="DEW">
    <w:p w14:paraId="4294D835" w14:textId="5E1BD3CE" w:rsidR="00773F65" w:rsidRDefault="00773F65">
      <w:pPr>
        <w:pStyle w:val="CommentText"/>
      </w:pPr>
      <w:r>
        <w:rPr>
          <w:rStyle w:val="CommentReference"/>
        </w:rPr>
        <w:annotationRef/>
      </w:r>
      <w:r>
        <w:t>Daniel, you indicated refs here, but I think this would be the same as the references for seed size-count.</w:t>
      </w:r>
    </w:p>
  </w:comment>
  <w:comment w:id="32" w:author="Dr Elizabeth Wenk " w:date="2016-12-01T15:59:00Z" w:initials="DEW">
    <w:p w14:paraId="1AC3A1B8" w14:textId="1F461C53" w:rsidR="00987FE7" w:rsidRDefault="00987FE7">
      <w:pPr>
        <w:pStyle w:val="CommentText"/>
      </w:pPr>
      <w:r>
        <w:rPr>
          <w:rStyle w:val="CommentReference"/>
        </w:rPr>
        <w:annotationRef/>
      </w:r>
      <w:r>
        <w:t xml:space="preserve">Should I include in </w:t>
      </w:r>
      <w:proofErr w:type="spellStart"/>
      <w:r>
        <w:t>Supp</w:t>
      </w:r>
      <w:proofErr w:type="spellEnd"/>
      <w:r>
        <w:t xml:space="preserv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E007BC3" w15:done="0"/>
  <w15:commentEx w15:paraId="6923C1C5" w15:done="0"/>
  <w15:commentEx w15:paraId="017B215E" w15:done="0"/>
  <w15:commentEx w15:paraId="57EC7E45" w15:done="0"/>
  <w15:commentEx w15:paraId="247C0D4D" w15:done="0"/>
  <w15:commentEx w15:paraId="38894FC6" w15:done="0"/>
  <w15:commentEx w15:paraId="6564BF30" w15:done="0"/>
  <w15:commentEx w15:paraId="65079277" w15:done="0"/>
  <w15:commentEx w15:paraId="6E8ACCFF" w15:done="0"/>
  <w15:commentEx w15:paraId="2A3007C9" w15:done="0"/>
  <w15:commentEx w15:paraId="55391EF7" w15:done="0"/>
  <w15:commentEx w15:paraId="6F6319AB" w15:done="0"/>
  <w15:commentEx w15:paraId="47DC9EFF" w15:done="0"/>
  <w15:commentEx w15:paraId="75CC696F" w15:done="0"/>
  <w15:commentEx w15:paraId="3DF5CE7F" w15:done="0"/>
  <w15:commentEx w15:paraId="006A58B5" w15:done="0"/>
  <w15:commentEx w15:paraId="6A552AC9" w15:done="0"/>
  <w15:commentEx w15:paraId="60573EFA" w15:done="0"/>
  <w15:commentEx w15:paraId="0E17F47C" w15:done="0"/>
  <w15:commentEx w15:paraId="480AEF98" w15:done="0"/>
  <w15:commentEx w15:paraId="66967D0C"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C09E0" w14:textId="77777777" w:rsidR="00E41234" w:rsidRDefault="00E41234" w:rsidP="00991A62">
      <w:pPr>
        <w:spacing w:after="0" w:line="240" w:lineRule="auto"/>
      </w:pPr>
      <w:r>
        <w:separator/>
      </w:r>
    </w:p>
  </w:endnote>
  <w:endnote w:type="continuationSeparator" w:id="0">
    <w:p w14:paraId="696C3776" w14:textId="77777777" w:rsidR="00E41234" w:rsidRDefault="00E41234"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D0917" w:rsidRDefault="00FD0917">
        <w:pPr>
          <w:pStyle w:val="Footer"/>
          <w:jc w:val="right"/>
        </w:pPr>
        <w:r>
          <w:fldChar w:fldCharType="begin"/>
        </w:r>
        <w:r>
          <w:instrText xml:space="preserve"> PAGE   \* MERGEFORMAT </w:instrText>
        </w:r>
        <w:r>
          <w:fldChar w:fldCharType="separate"/>
        </w:r>
        <w:r w:rsidR="00FF1706">
          <w:rPr>
            <w:noProof/>
          </w:rPr>
          <w:t>22</w:t>
        </w:r>
        <w:r>
          <w:rPr>
            <w:noProof/>
          </w:rPr>
          <w:fldChar w:fldCharType="end"/>
        </w:r>
      </w:p>
    </w:sdtContent>
  </w:sdt>
  <w:p w14:paraId="2E4FBA35" w14:textId="77777777" w:rsidR="00FD0917" w:rsidRDefault="00FD0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CFB68" w14:textId="77777777" w:rsidR="00E41234" w:rsidRDefault="00E41234" w:rsidP="00991A62">
      <w:pPr>
        <w:spacing w:after="0" w:line="240" w:lineRule="auto"/>
      </w:pPr>
      <w:r>
        <w:separator/>
      </w:r>
    </w:p>
  </w:footnote>
  <w:footnote w:type="continuationSeparator" w:id="0">
    <w:p w14:paraId="46D086FC" w14:textId="77777777" w:rsidR="00E41234" w:rsidRDefault="00E41234"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Dr Elizabeth Wenk  [2]">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6C78"/>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7A47E-F331-4C60-80D9-C935999F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41</Pages>
  <Words>77601</Words>
  <Characters>442329</Characters>
  <Application>Microsoft Office Word</Application>
  <DocSecurity>0</DocSecurity>
  <Lines>3686</Lines>
  <Paragraphs>1037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518893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cp:lastPrinted>2016-03-21T02:58:00Z</cp:lastPrinted>
  <dcterms:created xsi:type="dcterms:W3CDTF">2016-12-01T05:12:00Z</dcterms:created>
  <dcterms:modified xsi:type="dcterms:W3CDTF">2016-12-16T02:38:00Z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id="dNr9v6Af"/&gt;&lt;style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