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 xml:space="preserve">[general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divided into investment up to the point of pollination (pollen-attraction costs) versus investment in the seed and packaging and dispersal tissues (provisioning costs). Each of these pools can be further divided into energy invested in tissues associated with ovules that progress to mature seeds (success costs) versus tissues that are aborted along the developmental traje</w:t>
      </w:r>
      <w:r w:rsidR="00802465">
        <w:t xml:space="preserve">ctory (discarded tissue costs). 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tenfold 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096205DA" w:rsidR="00262A45" w:rsidRDefault="00802465" w:rsidP="00262A45">
      <w:r>
        <w:lastRenderedPageBreak/>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w:t>
      </w:r>
      <w:r w:rsidR="00982EE2">
        <w:t>that a given</w:t>
      </w:r>
      <w:r>
        <w:t xml:space="preserve">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floral construction costs, seedset and seed size, reflecting alternate strategies to maximize fitness. 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 xml:space="preserve">(Obeso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w:t>
      </w:r>
      <w:r w:rsidR="00210508" w:rsidRPr="003C3342">
        <w:lastRenderedPageBreak/>
        <w:t xml:space="preserve">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0B349F7B"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a </w:t>
      </w:r>
      <w:r w:rsidR="0018528B" w:rsidRPr="003C3342">
        <w:rPr>
          <w:i/>
        </w:rPr>
        <w:t xml:space="preserve">per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r w:rsidR="00D92111">
        <w:t xml:space="preserve">mass </w:t>
      </w:r>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D92111" w:rsidRPr="00D92111">
        <w:t>terms</w:t>
      </w:r>
      <w:r w:rsidR="00D92111">
        <w:rPr>
          <w:i/>
        </w:rPr>
        <w:t xml:space="preserve"> </w:t>
      </w:r>
      <w:r w:rsidR="004D5B90">
        <w:t>high-lighted in red in Figure 1</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727A2BFB" w:rsidR="00F51CF7" w:rsidRDefault="00F51CF7" w:rsidP="00F51CF7">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597EF7">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597EF7">
        <w:rPr>
          <w:rFonts w:ascii="Cambria Math" w:hAnsi="Cambria Math" w:cs="Cambria Math"/>
        </w:rPr>
        <w:instrText>‐</w:instrText>
      </w:r>
      <w:r w:rsidR="00597EF7">
        <w:instrText>Westoby model revisited.","container-title":"The American Naturalist","page":"400-404","volume":"171","issue":"3","source":"JSTOR","abstract":"Abstract: The Haig</w:instrText>
      </w:r>
      <w:r w:rsidR="00597EF7">
        <w:rPr>
          <w:rFonts w:ascii="Cambria Math" w:hAnsi="Cambria Math" w:cs="Cambria Math"/>
        </w:rPr>
        <w:instrText>‐</w:instrText>
      </w:r>
      <w:r w:rsidR="00597EF7">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97EF7">
        <w:rPr>
          <w:rFonts w:ascii="Cambria Math" w:hAnsi="Cambria Math" w:cs="Cambria Math"/>
        </w:rPr>
        <w:instrText>‐</w:instrText>
      </w:r>
      <w:r w:rsidR="00597EF7">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97EF7">
        <w:rPr>
          <w:rFonts w:ascii="Cambria Math" w:hAnsi="Cambria Math" w:cs="Cambria Math"/>
        </w:rPr>
        <w:instrText>‐</w:instrText>
      </w:r>
      <w:r w:rsidR="00597EF7">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97EF7">
        <w:rPr>
          <w:rFonts w:ascii="Cambria Math" w:hAnsi="Cambria Math" w:cs="Cambria Math"/>
        </w:rPr>
        <w:instrText>‐</w:instrText>
      </w:r>
      <w:r w:rsidR="00597EF7">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597EF7" w:rsidRPr="00597EF7">
        <w:rPr>
          <w:rFonts w:cs="Times New Roman"/>
        </w:rPr>
        <w:t xml:space="preserve">(Bierzychudek 1981; Stephenson 1981; Sutherland 1986; Burd 1994, 2008; Ramsey 1997; Obeso 2004; Ashman </w:t>
      </w:r>
      <w:r w:rsidR="00597EF7" w:rsidRPr="00597EF7">
        <w:rPr>
          <w:rFonts w:cs="Times New Roman"/>
          <w:i/>
          <w:iCs/>
        </w:rPr>
        <w:t>et al.</w:t>
      </w:r>
      <w:r w:rsidR="00597EF7" w:rsidRPr="00597EF7">
        <w:rPr>
          <w:rFonts w:cs="Times New Roman"/>
        </w:rPr>
        <w:t xml:space="preserve"> 2004; Knight </w:t>
      </w:r>
      <w:r w:rsidR="00597EF7" w:rsidRPr="00597EF7">
        <w:rPr>
          <w:rFonts w:cs="Times New Roman"/>
          <w:i/>
          <w:iCs/>
        </w:rPr>
        <w:t>et al.</w:t>
      </w:r>
      <w:r w:rsidR="00597EF7" w:rsidRPr="00597EF7">
        <w:rPr>
          <w:rFonts w:cs="Times New Roman"/>
        </w:rPr>
        <w:t xml:space="preserve"> 2005; Holland &amp; Chamberlain 2007; Rosenheim, Schreiber &amp; Williams 2015)</w:t>
      </w:r>
      <w:r w:rsidRPr="003C3342">
        <w:fldChar w:fldCharType="end"/>
      </w:r>
      <w:r>
        <w:t xml:space="preserve">. </w:t>
      </w:r>
    </w:p>
    <w:p w14:paraId="7DBD589F" w14:textId="489EBCF2" w:rsidR="00554D80"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CD55D6">
        <w:t>Each of these trade-offs is separate, for each considers different resources, yet t</w:t>
      </w:r>
      <w:r w:rsidR="00524161">
        <w:t xml:space="preserve">ogether these yield hypotheses on how energy allocation </w:t>
      </w:r>
      <w:r w:rsidR="00554D80">
        <w:t xml:space="preserve">to the energy pools illustrated in Figure 1a </w:t>
      </w:r>
      <w:r w:rsidR="00524161">
        <w:t>should differ systematically with respect to seed size</w:t>
      </w:r>
      <w:r w:rsidR="00CD55D6">
        <w:t xml:space="preserve"> through evolutionary linkages</w:t>
      </w:r>
      <w:r w:rsidR="00524161">
        <w:t>.</w:t>
      </w:r>
      <w:ins w:id="2" w:author="Dr Elizabeth Wenk " w:date="2016-12-20T09:50:00Z">
        <w:r w:rsidR="00554D80">
          <w:t xml:space="preserve"> </w:t>
        </w:r>
      </w:ins>
      <w:ins w:id="3" w:author="Dr Elizabeth Wenk " w:date="2016-12-20T09:56:00Z">
        <w:r w:rsidR="00554D80">
          <w:t xml:space="preserve"> </w:t>
        </w:r>
      </w:ins>
    </w:p>
    <w:p w14:paraId="46C96615" w14:textId="7B4CAFC3" w:rsidR="00CF3967" w:rsidRDefault="00085F30" w:rsidP="00FF02E0">
      <w:r>
        <w:rPr>
          <w:b/>
        </w:rPr>
        <w:lastRenderedPageBreak/>
        <w:t>Seed size – seed number trade-off</w:t>
      </w:r>
      <w:r w:rsidR="00B846EB" w:rsidRPr="00B846EB">
        <w:rPr>
          <w:b/>
        </w:rPr>
        <w:t>:</w:t>
      </w:r>
      <w:r w:rsidR="00B846EB">
        <w:t xml:space="preserve"> </w:t>
      </w:r>
      <w:r w:rsidR="004B4DA5">
        <w:t xml:space="preserve">Whatever pool of energy is available to a plant for seed </w:t>
      </w:r>
      <w:bookmarkStart w:id="4" w:name="_GoBack"/>
      <w:bookmarkEnd w:id="4"/>
      <w:r w:rsidR="004B4DA5">
        <w:t xml:space="preserve">production can be divided into </w:t>
      </w:r>
      <w:r w:rsidR="00F51CF7">
        <w:t>many small seeds or fewer larger seeds</w:t>
      </w:r>
      <w:r w:rsidR="00BC59A5">
        <w:t>. A</w:t>
      </w:r>
      <w:r w:rsidR="00F51CF7">
        <w:t xml:space="preserve"> log-log plot of seed size versus seed count </w:t>
      </w:r>
      <w:r w:rsidR="00982EE2">
        <w:t xml:space="preserve">scaled to plant size </w:t>
      </w:r>
      <w:r w:rsidR="00F51CF7">
        <w:t>should have a slope of -1</w:t>
      </w:r>
      <w:r w:rsidR="00BC59A5">
        <w:t xml:space="preserve"> all else being equal, and that slope has been observed across species in the field</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Sadras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3C7F69A1"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commentRangeStart w:id="5"/>
      <w:r w:rsidR="0015698B">
        <w:t xml:space="preserve">Species variation in seedset, the ratio of seed count to ovule count, provides the link between these two trade-offs, and is itself one of the axes in the trade-off described below. </w:t>
      </w:r>
      <w:commentRangeEnd w:id="5"/>
      <w:r w:rsidR="0015698B">
        <w:rPr>
          <w:rStyle w:val="CommentReference"/>
        </w:rPr>
        <w:commentReference w:id="5"/>
      </w:r>
    </w:p>
    <w:p w14:paraId="576CB02E" w14:textId="5361B85F"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0F7A6D" w:rsidRPr="000F7A6D">
        <w:rPr>
          <w:rFonts w:cs="Times New Roman"/>
        </w:rPr>
        <w:t xml:space="preserve">(Rosenheim </w:t>
      </w:r>
      <w:r w:rsidR="000F7A6D" w:rsidRPr="000F7A6D">
        <w:rPr>
          <w:rFonts w:cs="Times New Roman"/>
          <w:i/>
          <w:iCs/>
        </w:rPr>
        <w:t>et al.</w:t>
      </w:r>
      <w:r w:rsidR="000F7A6D" w:rsidRPr="000F7A6D">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107612F0"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unpollinated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453C3891"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1BF4E975" w:rsidR="00D848E4" w:rsidRDefault="000F7A6D" w:rsidP="008D5690">
      <w:r>
        <w:rPr>
          <w:b/>
        </w:rPr>
        <w:t xml:space="preserve">The three trade-offs link to 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versus</w:t>
      </w:r>
      <w:r w:rsidR="00ED5D48">
        <w:t xml:space="preserve"> (</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t xml:space="preserve">lying on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Indeed, trade-off 3 is nearly a ratio of the two energy pool-count trade-offs: it reflects what decisions plants make after allocating 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6F9DFBCD" w:rsidR="0012287A" w:rsidRDefault="00DA2BE7" w:rsidP="008D5690">
      <w:r>
        <w:lastRenderedPageBreak/>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lastRenderedPageBreak/>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Kuring’gai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lastRenderedPageBreak/>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3BBBB8CD"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w:t>
      </w:r>
      <w:r w:rsidR="006869F3" w:rsidRPr="003C3342">
        <w:lastRenderedPageBreak/>
        <w:t xml:space="preserve">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1A991B9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00261620">
        <w:t xml:space="preserve"> Tables S1-S14 and Figures S1-S14</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870C99E"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w:t>
      </w:r>
      <w:r w:rsidR="000D0446">
        <w:lastRenderedPageBreak/>
        <w:t xml:space="preserve">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lastRenderedPageBreak/>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00E95B48"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w:t>
      </w:r>
      <w:r w:rsidR="009A035F">
        <w:lastRenderedPageBreak/>
        <w:t>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2F7FD130"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w:t>
      </w:r>
      <w:r w:rsidR="0026173D">
        <w:rPr>
          <w:rFonts w:eastAsia="Times New Roman"/>
          <w:color w:val="000000"/>
          <w:lang w:eastAsia="en-AU"/>
        </w:rPr>
        <w:lastRenderedPageBreak/>
        <w:t xml:space="preserve">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013FCD75" w14:textId="060AD615"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are listed in the Supplementary Material Table S15.</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w:t>
      </w:r>
      <w:r>
        <w:lastRenderedPageBreak/>
        <w:t xml:space="preserve">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4141FBEF" w14:textId="77777777" w:rsidR="00261620" w:rsidRDefault="00261620" w:rsidP="00261620">
      <w:pPr>
        <w:rPr>
          <w:rFonts w:eastAsia="Times New Roman"/>
          <w:color w:val="000000"/>
          <w:lang w:eastAsia="en-AU"/>
        </w:rPr>
      </w:pPr>
      <w:r>
        <w:rPr>
          <w:rFonts w:eastAsia="Times New Roman"/>
          <w:color w:val="000000"/>
          <w:lang w:eastAsia="en-AU"/>
        </w:rPr>
        <w:t>The values for the plotted points are listed in the Supplementary Material Table S15.</w:t>
      </w:r>
    </w:p>
    <w:p w14:paraId="20C2530E" w14:textId="77777777" w:rsidR="00B03529" w:rsidRPr="003C3342" w:rsidRDefault="00B03529" w:rsidP="003C3342">
      <w:pPr>
        <w:pStyle w:val="Heading2"/>
      </w:pPr>
      <w:r w:rsidRPr="003C3342">
        <w:t>Shifts in accessory costs with plant size, age, or reproductive effort</w:t>
      </w:r>
    </w:p>
    <w:p w14:paraId="59F901F3" w14:textId="52567D77"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261620">
        <w:rPr>
          <w:rFonts w:eastAsia="Times New Roman"/>
          <w:iCs/>
          <w:color w:val="000000"/>
          <w:lang w:eastAsia="en-AU"/>
        </w:rPr>
        <w:t xml:space="preserve"> Table S16</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r w:rsidR="00261620">
        <w:rPr>
          <w:rFonts w:eastAsia="Times New Roman"/>
          <w:iCs/>
          <w:color w:val="000000"/>
          <w:lang w:eastAsia="en-AU"/>
        </w:rPr>
        <w:t xml:space="preserve"> Table S16</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t>Correlates with total reproductive investment</w:t>
      </w:r>
    </w:p>
    <w:p w14:paraId="1FD9F66F" w14:textId="3B819875"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3F85784E"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w:t>
      </w:r>
      <w:r w:rsidRPr="003C3342">
        <w:lastRenderedPageBreak/>
        <w:t xml:space="preserve">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00261620">
        <w:t xml:space="preserve"> S17</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r w:rsidR="00261620">
        <w:t xml:space="preserve"> S17</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348F8CF7" w:rsidR="006751DC" w:rsidRPr="003C3342" w:rsidRDefault="006751DC" w:rsidP="006751DC">
      <w:r>
        <w:t xml:space="preserve">There were four key outcomes from this study. First, these long-lived perennial plants 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there existed 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w:t>
      </w:r>
      <w:r>
        <w:lastRenderedPageBreak/>
        <w:t xml:space="preserve">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w:t>
      </w:r>
      <w:r w:rsidR="002C42E5">
        <w:t xml:space="preserve">In combination, these trade-offs lead to systematic differences in the way reproductive energy is allocated across species, resulting in a syndrome of reproductive traits values observed for large-seeded versus small-seeded species, our third outcome. </w:t>
      </w:r>
      <w:r>
        <w:t xml:space="preserve">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777777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leading to potentially misleading results (reviewed in Obeso 2002; Lord &amp;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 since both discarded tissue costs and success cost components (see Figure 1a for definitions) contributed to the high accessory costs (Table 1).</w:t>
      </w:r>
    </w:p>
    <w:p w14:paraId="4C9C3188" w14:textId="1A5E6500" w:rsidR="006751DC" w:rsidRDefault="006751DC" w:rsidP="006751DC">
      <w:r>
        <w:lastRenderedPageBreak/>
        <w:t xml:space="preserve">The study species have diverse floral and fruiting structures, such that disparate tissues comprise success cost expenditures in different species </w:t>
      </w:r>
      <w:r w:rsidRPr="003C3342">
        <w:t>(Figure 1</w:t>
      </w:r>
      <w:r>
        <w:t>a</w:t>
      </w:r>
      <w:r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w:t>
      </w:r>
      <w:del w:id="6" w:author="Dr Elizabeth Wenk  [2]" w:date="2017-02-10T12:21:00Z">
        <w:r w:rsidDel="00F1197F">
          <w:delText xml:space="preserve">develop </w:delText>
        </w:r>
      </w:del>
      <w:ins w:id="7" w:author="Dr Elizabeth Wenk  [2]" w:date="2017-02-10T12:21:00Z">
        <w:r w:rsidR="00F1197F">
          <w:t xml:space="preserve">eventually produce </w:t>
        </w:r>
      </w:ins>
      <w:del w:id="8" w:author="Dr Elizabeth Wenk  [2]" w:date="2017-02-10T12:21:00Z">
        <w:r w:rsidDel="00F1197F">
          <w:delText xml:space="preserve">into </w:delText>
        </w:r>
      </w:del>
      <w:r>
        <w:t xml:space="preserve">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maximize seed production and survival.</w:t>
      </w:r>
      <w:r w:rsidRPr="003C3342">
        <w:t xml:space="preserve"> </w:t>
      </w:r>
    </w:p>
    <w:p w14:paraId="1F251C54" w14:textId="77777777"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155E46C0"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selfing or apomixis.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w:t>
      </w:r>
      <w:r w:rsidRPr="00F34B6D">
        <w:lastRenderedPageBreak/>
        <w:t xml:space="preserve">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7777777" w:rsidR="006751DC" w:rsidRPr="003C3342" w:rsidRDefault="006751DC" w:rsidP="006751DC">
      <w:r w:rsidRPr="003C3342">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77777777" w:rsidR="00FF1706" w:rsidRDefault="00FF1706" w:rsidP="00FF1706">
      <w:pPr>
        <w:pStyle w:val="Heading2"/>
      </w:pPr>
      <w:r>
        <w:t>Count-cost and choosiness-cost trade-offs observed</w:t>
      </w:r>
    </w:p>
    <w:p w14:paraId="26374A29" w14:textId="73283A7F"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Fretwell 1974; Moles </w:t>
      </w:r>
      <w:r w:rsidRPr="007616B9">
        <w:rPr>
          <w:rFonts w:cs="Times New Roman"/>
          <w:i/>
          <w:iCs/>
        </w:rPr>
        <w:t>et al.</w:t>
      </w:r>
      <w:r w:rsidRPr="007616B9">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 xml:space="preserve">The first trade-off is between seed count and total reproductive costs, closely related to the well-established seed size-seed count trade-off, demonstrating that large-seeded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E66565" w:rsidRPr="00181612">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w:t>
      </w:r>
      <w:r w:rsidR="00F1197F">
        <w:t xml:space="preserve">plants have a fixed </w:t>
      </w:r>
      <w:r>
        <w:t xml:space="preserve">pool of energy to allocate to construct flowers to the point of pollination and </w:t>
      </w:r>
      <w:r w:rsidR="00F1197F">
        <w:t xml:space="preserve">this energy </w:t>
      </w:r>
      <w:r>
        <w:t xml:space="preserve">may be divided into fewer showier flowers or into more numerous but cheaper flowers </w:t>
      </w:r>
      <w:r w:rsidR="006872AF">
        <w:fldChar w:fldCharType="begin"/>
      </w:r>
      <w:r w:rsidR="006872AF">
        <w:instrText xml:space="preserve"> ADDIN ZOTERO_ITEM CSL_CITATION {"citationID":"fh8affb6q","properties":{"formattedCitation":"{\\rtf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872AF">
        <w:fldChar w:fldCharType="separate"/>
      </w:r>
      <w:r w:rsidR="006872AF" w:rsidRPr="006872AF">
        <w:rPr>
          <w:rFonts w:cs="Times New Roman"/>
        </w:rPr>
        <w:t xml:space="preserve">(Rosenheim </w:t>
      </w:r>
      <w:r w:rsidR="006872AF" w:rsidRPr="006872AF">
        <w:rPr>
          <w:rFonts w:cs="Times New Roman"/>
          <w:i/>
          <w:iCs/>
        </w:rPr>
        <w:t>et al.</w:t>
      </w:r>
      <w:r w:rsidR="006872AF" w:rsidRPr="006872AF">
        <w:rPr>
          <w:rFonts w:cs="Times New Roman"/>
        </w:rPr>
        <w:t xml:space="preserve"> 2014)</w:t>
      </w:r>
      <w:r w:rsidR="006872AF">
        <w:fldChar w:fldCharType="end"/>
      </w:r>
      <w: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w:t>
      </w:r>
      <w:r w:rsidRPr="00287E7D">
        <w:rPr>
          <w:color w:val="000000" w:themeColor="text1"/>
        </w:rPr>
        <w:lastRenderedPageBreak/>
        <w:t xml:space="preserve">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2EC2E51A" w:rsidR="00FF1706" w:rsidRDefault="00FF1706" w:rsidP="00FF1706">
      <w:r>
        <w:t>Together, the three trade-offs predict a single axis of variation in reproductive strategies, showing how species exhibit coordinated shifts in resource allocation</w:t>
      </w:r>
      <w:r w:rsidR="002C42E5">
        <w:t xml:space="preserve">, leading to a syndrome of reproductive traits associated with large-seeded versus small-seeded species (Figure </w:t>
      </w:r>
      <w:del w:id="9" w:author="Dr Elizabeth Wenk  [2]" w:date="2017-02-10T12:31:00Z">
        <w:r w:rsidR="002C42E5" w:rsidDel="006872AF">
          <w:delText>1e</w:delText>
        </w:r>
      </w:del>
      <w:ins w:id="10" w:author="Dr Elizabeth Wenk  [2]" w:date="2017-02-10T12:31:00Z">
        <w:r w:rsidR="006872AF">
          <w:t>1</w:t>
        </w:r>
        <w:r w:rsidR="006872AF">
          <w:t>c</w:t>
        </w:r>
      </w:ins>
      <w:r w:rsidR="002C42E5">
        <w:t>)</w:t>
      </w:r>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r w:rsidR="00E66565">
        <w:t>a</w:t>
      </w:r>
      <w:r>
        <w:t xml:space="preserve">. </w:t>
      </w:r>
      <w:r w:rsidR="00E66565">
        <w:t>T</w:t>
      </w:r>
      <w:r>
        <w:t xml:space="preserve">he first and third of the predicted </w:t>
      </w:r>
      <w:r w:rsidR="00E66565">
        <w:t xml:space="preserve">relative </w:t>
      </w:r>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w:t>
      </w:r>
      <w:r>
        <w:lastRenderedPageBreak/>
        <w:t xml:space="preserve">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 xml:space="preserve">(Lord &amp;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5D3602BA" w:rsidR="00FF1706" w:rsidRDefault="00FF1706" w:rsidP="00FF1706">
      <w:pPr>
        <w:rPr>
          <w:color w:val="000000" w:themeColor="text1"/>
        </w:rPr>
      </w:pPr>
      <w:r w:rsidRPr="009972A0">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w:t>
      </w:r>
      <w:r w:rsidR="00926EAA">
        <w:rPr>
          <w:color w:val="000000" w:themeColor="text1"/>
        </w:rPr>
        <w:t xml:space="preserve">Our result suggests that among our study species </w:t>
      </w:r>
      <w:r w:rsidR="00926EAA" w:rsidRPr="009972A0">
        <w:rPr>
          <w:color w:val="000000" w:themeColor="text1"/>
        </w:rPr>
        <w:t xml:space="preserve">there are </w:t>
      </w:r>
      <w:r w:rsidR="00926EAA">
        <w:rPr>
          <w:color w:val="000000" w:themeColor="text1"/>
        </w:rPr>
        <w:t xml:space="preserve">(slight) </w:t>
      </w:r>
      <w:r w:rsidR="00926EAA" w:rsidRPr="009972A0">
        <w:rPr>
          <w:color w:val="000000" w:themeColor="text1"/>
        </w:rPr>
        <w:t>additional benefits to being large-seeded that have not been explored in this study, such as higher seedling germination and success</w:t>
      </w:r>
      <w:r w:rsidR="00926EAA">
        <w:rPr>
          <w:color w:val="000000" w:themeColor="text1"/>
        </w:rPr>
        <w:t xml:space="preserve"> </w:t>
      </w:r>
      <w:r w:rsidR="00926EAA">
        <w:rPr>
          <w:color w:val="000000" w:themeColor="text1"/>
        </w:rPr>
        <w:fldChar w:fldCharType="begin"/>
      </w:r>
      <w:r w:rsidR="00926EAA">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26EAA">
        <w:rPr>
          <w:color w:val="000000" w:themeColor="text1"/>
        </w:rPr>
        <w:fldChar w:fldCharType="separate"/>
      </w:r>
      <w:r w:rsidR="00926EAA" w:rsidRPr="0088543F">
        <w:rPr>
          <w:rFonts w:cs="Times New Roman"/>
        </w:rPr>
        <w:t>(Moles &amp; Westoby 2006)</w:t>
      </w:r>
      <w:r w:rsidR="00926EAA">
        <w:rPr>
          <w:color w:val="000000" w:themeColor="text1"/>
        </w:rPr>
        <w:fldChar w:fldCharType="end"/>
      </w:r>
      <w:r w:rsidR="00926EAA" w:rsidRPr="009972A0">
        <w:rPr>
          <w:color w:val="000000" w:themeColor="text1"/>
        </w:rPr>
        <w:t>.</w:t>
      </w:r>
      <w:r w:rsidR="00926EAA">
        <w:rPr>
          <w:color w:val="000000" w:themeColor="text1"/>
        </w:rPr>
        <w:t xml:space="preserve"> </w:t>
      </w:r>
      <w:r>
        <w:t xml:space="preserve">Previous studies </w:t>
      </w:r>
      <w:r w:rsidRPr="009972A0">
        <w:t xml:space="preserve">have </w:t>
      </w:r>
      <w:r>
        <w:t xml:space="preserve">not </w:t>
      </w:r>
      <w:r w:rsidRPr="009972A0">
        <w:t xml:space="preserve">found </w:t>
      </w:r>
      <w:r>
        <w:lastRenderedPageBreak/>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sidR="00597EF7">
        <w:rPr>
          <w:rFonts w:cs="Times New Roman"/>
        </w:rPr>
        <w:instrText xml:space="preserve"> ADDIN ZOTERO_ITEM CSL_CITATION {"citationID":"2kfouth64g","properties":{"formattedCitation":"{\\rtf (Henery &amp; Westoby 2001; Moles, Warton &amp; Westoby 2003; Lord &amp; Westoby 2006, 2012; Chen {\\i{}et al.} 2010)}","plainCitation":"(Henery &amp; Westoby 2001; Moles, Warton &amp; Westoby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97EF7">
        <w:rPr>
          <w:rFonts w:ascii="Cambria Math" w:hAnsi="Cambria Math" w:cs="Cambria Math"/>
        </w:rPr>
        <w:instrText>⬚</w:instrText>
      </w:r>
      <w:r w:rsidR="00597EF7">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00597EF7" w:rsidRPr="00597EF7">
        <w:rPr>
          <w:rFonts w:cs="Times New Roman"/>
        </w:rPr>
        <w:t xml:space="preserve">(Henery &amp; Westoby 2001; Moles, Warton &amp; Westoby 2003; Lord &amp; Westoby 2006, 2012; Chen </w:t>
      </w:r>
      <w:r w:rsidR="00597EF7" w:rsidRPr="00597EF7">
        <w:rPr>
          <w:rFonts w:cs="Times New Roman"/>
          <w:i/>
          <w:iCs/>
        </w:rPr>
        <w:t>et al.</w:t>
      </w:r>
      <w:r w:rsidR="00597EF7" w:rsidRPr="00597EF7">
        <w:rPr>
          <w:rFonts w:cs="Times New Roman"/>
        </w:rPr>
        <w:t xml:space="preserve"> 2010)</w:t>
      </w:r>
      <w:r>
        <w:rPr>
          <w:rFonts w:cs="Times New Roman"/>
        </w:rPr>
        <w:fldChar w:fldCharType="end"/>
      </w:r>
      <w:r w:rsidR="00926EAA">
        <w:rPr>
          <w:rFonts w:cs="Times New Roman"/>
        </w:rPr>
        <w:t>. Note, that in these studies, seed size was defined as the mass of the entire propagule. When we recalculate the slopes of the relationships using total propagule size, we too observe an isometric relationship between total reproductive costs or total accessory costs and propagule size (Supplementary Material Table S19.</w:t>
      </w:r>
      <w:ins w:id="11" w:author="Dr Elizabeth Wenk  [2]" w:date="2017-02-14T14:55:00Z">
        <w:r w:rsidR="00926EAA">
          <w:rPr>
            <w:rFonts w:cs="Times New Roman"/>
          </w:rPr>
          <w:t xml:space="preserve"> </w:t>
        </w:r>
      </w:ins>
      <w:del w:id="12" w:author="Dr Elizabeth Wenk  [2]" w:date="2017-02-14T13:16:00Z">
        <w:r w:rsidR="0080160D" w:rsidDel="0080160D">
          <w:rPr>
            <w:color w:val="000000" w:themeColor="text1"/>
          </w:rPr>
          <w:delText xml:space="preserve">They affirmed </w:delText>
        </w:r>
        <w:r w:rsidR="0080160D" w:rsidRPr="009972A0" w:rsidDel="0080160D">
          <w:rPr>
            <w:color w:val="000000" w:themeColor="text1"/>
          </w:rPr>
          <w:delText>theories on optimal energy allocation</w:delText>
        </w:r>
        <w:r w:rsidR="0080160D" w:rsidDel="0080160D">
          <w:rPr>
            <w:color w:val="000000" w:themeColor="text1"/>
          </w:rPr>
          <w:delText xml:space="preserve"> that </w:delText>
        </w:r>
        <w:r w:rsidR="0080160D" w:rsidRPr="009972A0" w:rsidDel="0080160D">
          <w:rPr>
            <w:color w:val="000000" w:themeColor="text1"/>
          </w:rPr>
          <w:delText>sugges</w:delText>
        </w:r>
        <w:r w:rsidR="0080160D" w:rsidDel="0080160D">
          <w:rPr>
            <w:color w:val="000000" w:themeColor="text1"/>
          </w:rPr>
          <w:delText>t</w:delText>
        </w:r>
        <w:r w:rsidR="0080160D" w:rsidRPr="009972A0" w:rsidDel="0080160D">
          <w:rPr>
            <w:color w:val="000000" w:themeColor="text1"/>
          </w:rPr>
          <w:delText xml:space="preserve"> that despite the enormous diversity of floral forms and the known adaptive function of many floral parts </w:delText>
        </w:r>
        <w:r w:rsidR="0080160D" w:rsidRPr="009972A0" w:rsidDel="0080160D">
          <w:rPr>
            <w:color w:val="000000" w:themeColor="text1"/>
          </w:rPr>
          <w:fldChar w:fldCharType="begin"/>
        </w:r>
        <w:r w:rsidR="0080160D" w:rsidRPr="009972A0" w:rsidDel="0080160D">
          <w:rPr>
            <w:color w:val="000000" w:themeColor="text1"/>
          </w:rPr>
          <w:del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delInstrText>
        </w:r>
        <w:r w:rsidR="0080160D" w:rsidRPr="009972A0" w:rsidDel="0080160D">
          <w:rPr>
            <w:color w:val="000000" w:themeColor="text1"/>
          </w:rPr>
          <w:fldChar w:fldCharType="separate"/>
        </w:r>
        <w:r w:rsidR="0080160D" w:rsidRPr="00181612" w:rsidDel="0080160D">
          <w:rPr>
            <w:rFonts w:cs="Times New Roman"/>
          </w:rPr>
          <w:delText>(Harder &amp; Barrett 2006; Harder &amp; Johnson 2009)</w:delText>
        </w:r>
        <w:r w:rsidR="0080160D" w:rsidRPr="009972A0" w:rsidDel="0080160D">
          <w:rPr>
            <w:color w:val="000000" w:themeColor="text1"/>
          </w:rPr>
          <w:fldChar w:fldCharType="end"/>
        </w:r>
        <w:r w:rsidR="0080160D" w:rsidRPr="009972A0" w:rsidDel="0080160D">
          <w:rPr>
            <w:color w:val="000000" w:themeColor="text1"/>
          </w:rPr>
          <w:delText xml:space="preserve">, </w:delText>
        </w:r>
        <w:r w:rsidR="0080160D" w:rsidDel="0080160D">
          <w:rPr>
            <w:color w:val="000000" w:themeColor="text1"/>
          </w:rPr>
          <w:delText xml:space="preserve">for plants of all seed sizes, a </w:delText>
        </w:r>
        <w:commentRangeStart w:id="13"/>
        <w:r w:rsidR="0080160D" w:rsidRPr="009972A0" w:rsidDel="0080160D">
          <w:rPr>
            <w:color w:val="000000" w:themeColor="text1"/>
          </w:rPr>
          <w:delText>all seed sizes are equally cost</w:delText>
        </w:r>
        <w:r w:rsidR="0080160D" w:rsidDel="0080160D">
          <w:rPr>
            <w:color w:val="000000" w:themeColor="text1"/>
          </w:rPr>
          <w:delText>ly</w:delText>
        </w:r>
        <w:r w:rsidR="0080160D" w:rsidRPr="009972A0" w:rsidDel="0080160D">
          <w:rPr>
            <w:color w:val="000000" w:themeColor="text1"/>
          </w:rPr>
          <w:delText xml:space="preserve"> to produce</w:delText>
        </w:r>
        <w:commentRangeEnd w:id="13"/>
        <w:r w:rsidR="0080160D" w:rsidDel="0080160D">
          <w:rPr>
            <w:rStyle w:val="CommentReference"/>
          </w:rPr>
          <w:commentReference w:id="13"/>
        </w:r>
        <w:r w:rsidR="0080160D" w:rsidDel="0080160D">
          <w:rPr>
            <w:color w:val="000000" w:themeColor="text1"/>
          </w:rPr>
          <w:delText xml:space="preserve"> </w:delText>
        </w:r>
        <w:r w:rsidR="0080160D" w:rsidRPr="009972A0" w:rsidDel="0080160D">
          <w:rPr>
            <w:color w:val="000000" w:themeColor="text1"/>
          </w:rPr>
          <w:delText xml:space="preserve"> </w:delText>
        </w:r>
        <w:r w:rsidR="0080160D" w:rsidRPr="009972A0" w:rsidDel="0080160D">
          <w:rPr>
            <w:color w:val="000000" w:themeColor="text1"/>
          </w:rPr>
          <w:fldChar w:fldCharType="begin"/>
        </w:r>
        <w:r w:rsidR="0080160D" w:rsidRPr="009972A0" w:rsidDel="0080160D">
          <w:rPr>
            <w:color w:val="000000" w:themeColor="text1"/>
          </w:rPr>
          <w:del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factors problems involving essential resources or essential components of reproductive effort can be analyzed with an evolutionary application of Liebig’s law of the minimum. We explore life</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offspring harvest cost is smaller. Second, at the optimum, organisms balance multiple fitness</w:delInstrText>
        </w:r>
        <w:r w:rsidR="0080160D" w:rsidRPr="009972A0" w:rsidDel="0080160D">
          <w:rPr>
            <w:rFonts w:ascii="Cambria Math" w:hAnsi="Cambria Math" w:cs="Cambria Math"/>
            <w:color w:val="000000" w:themeColor="text1"/>
          </w:rPr>
          <w:delInstrText>‐</w:delInstrText>
        </w:r>
        <w:r w:rsidR="0080160D" w:rsidRPr="009972A0" w:rsidDel="0080160D">
          <w:rPr>
            <w:color w:val="000000" w:themeColor="text1"/>
          </w:rPr>
          <w:del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delInstrText>
        </w:r>
        <w:r w:rsidR="0080160D" w:rsidRPr="009972A0" w:rsidDel="0080160D">
          <w:rPr>
            <w:color w:val="000000" w:themeColor="text1"/>
          </w:rPr>
          <w:fldChar w:fldCharType="separate"/>
        </w:r>
        <w:r w:rsidR="0080160D" w:rsidRPr="00181612" w:rsidDel="0080160D">
          <w:rPr>
            <w:rFonts w:cs="Times New Roman"/>
          </w:rPr>
          <w:delText xml:space="preserve">(Rosenheim </w:delText>
        </w:r>
        <w:r w:rsidR="0080160D" w:rsidRPr="00181612" w:rsidDel="0080160D">
          <w:rPr>
            <w:rFonts w:cs="Times New Roman"/>
            <w:i/>
            <w:iCs/>
          </w:rPr>
          <w:delText>et al.</w:delText>
        </w:r>
        <w:r w:rsidR="0080160D" w:rsidRPr="00181612" w:rsidDel="0080160D">
          <w:rPr>
            <w:rFonts w:cs="Times New Roman"/>
          </w:rPr>
          <w:delText xml:space="preserve"> 2010; Mironchenko &amp; Kozłowski 2014)</w:delText>
        </w:r>
        <w:r w:rsidR="0080160D" w:rsidRPr="009972A0" w:rsidDel="0080160D">
          <w:rPr>
            <w:color w:val="000000" w:themeColor="text1"/>
          </w:rPr>
          <w:fldChar w:fldCharType="end"/>
        </w:r>
      </w:del>
      <w:r w:rsidR="0080160D">
        <w:rPr>
          <w:color w:val="000000" w:themeColor="text1"/>
        </w:rPr>
        <w:t>.</w:t>
      </w:r>
    </w:p>
    <w:p w14:paraId="150A0883" w14:textId="77777777" w:rsidR="00FF1706" w:rsidRDefault="00FF1706" w:rsidP="00FF1706">
      <w:pPr>
        <w:pStyle w:val="Heading2"/>
      </w:pPr>
      <w:r w:rsidRPr="003C3342">
        <w:t>Shifts in accessory costs with plant size and age</w:t>
      </w:r>
    </w:p>
    <w:p w14:paraId="3CF54E4D" w14:textId="3295505C"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t>Supplementary Material</w:t>
      </w:r>
      <w:r w:rsidR="00261620">
        <w:t xml:space="preserve"> S16</w:t>
      </w:r>
      <w:r w:rsidRPr="003C3342">
        <w:t xml:space="preserve">). The consistent lack of shift in per seed accessory costs (or seedset, data not shown) with RE (or bud count, data not shown) </w:t>
      </w:r>
      <w:r>
        <w:t>surprised us</w:t>
      </w:r>
      <w:r w:rsidRPr="003C3342">
        <w:t xml:space="preserve">. There is a large literature on expected and observed trends in pollination and seedset with the size of the floral display, </w:t>
      </w:r>
      <w:r>
        <w:t>showing</w:t>
      </w:r>
      <w:r w:rsidRPr="003C3342">
        <w:t xml:space="preserve"> </w:t>
      </w:r>
      <w:r>
        <w:t>varied</w:t>
      </w:r>
      <w:r w:rsidRPr="003C3342">
        <w:t xml:space="preserve"> patterns</w:t>
      </w:r>
      <w:r w:rsidR="0080160D">
        <w:t xml:space="preserve"> </w:t>
      </w:r>
      <w:r w:rsidR="00597EF7">
        <w:fldChar w:fldCharType="begin"/>
      </w:r>
      <w:r w:rsidR="001718E5">
        <w:instrText xml:space="preserve"> ADDIN ZOTERO_ITEM CSL_CITATION {"citationID":"YLmVJCGX","properties":{"custom":"(e.g. Primack 1987; Klinkhamer, de Jong &amp; de Bruyn 1989; Ohara &amp; Higashi 1994; Goulson et al. 1998)","formattedCitation":"(e.g. Primack 1987; Klinkhamer, de Jong &amp; de Bruyn 1989; Ohara &amp; Higashi 1994; Goulson et al. 1998)","plainCitation":"(e.g. Primack 1987; Klinkhamer, de Jong &amp; de Bruyn 1989; Ohara &amp; Higashi 1994; Goulson et al. 1998)"},"citationItems":[{"id":493,"uris":["http://zotero.org/users/503753/items/EAUBE3JI"],"uri":["http://zotero.org/users/503753/items/EAUBE3JI"],"itemData":{"id":493,"type":"article-journal","title":"Relationships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B."}],"issued":{"date-parts":[["1987",1,1]]}},"label":"page"},{"id":2021,"uris":["http://zotero.org/users/503753/items/N6PSHUNN"],"uri":["http://zotero.org/users/503753/items/N6PSHUNN"],"itemData":{"id":2021,"type":"article-journal","title":"Plant Size and Pollinator Visitation in Cynoglossum Officinale","container-title":"Oikos","page":"201-204","volume":"54","issue":"2","source":"JSTOR","abstract":"The number of bumblebee approaches to hound's tongue (Cynoglossum officinale) plants increased with increasing number of flowers per plant. The proportion of flowers visited after arrival of a bee decreased with increasing number of flowers. The net result of these two processes in shaded populations was that individual flowers on large plants received significantly more visits than those on small plants. This trend was repeated in open, unshaded populations but was not as pronounced. Plants in unshaded populations were approached more often than those in shade. In isolated plants, with no neighbours within 10 m, the number of approaches also increased with increasing number of flowers per plant. Compared with plants in populations, isolated plants received fewer approaches, but the proportion of flowers visited per approach was higher.","DOI":"10.2307/3565267","ISSN":"0030-1299","author":[{"family":"Klinkhamer","given":"Peter G. L."},{"family":"Jong","given":"Tom J.","non-dropping-particle":"de"},{"family":"Bruyn","given":"Gerrit-Jan","non-dropping-particle":"de"}],"issued":{"date-parts":[["1989"]]}},"label":"page"},{"id":2023,"uris":["http://zotero.org/users/503753/items/BJ8TWF7U"],"uri":["http://zotero.org/users/503753/items/BJ8TWF7U"],"itemData":{"id":2023,"type":"article-journal","title":"Effects of inflorescence size on visits from pollinators and seed set of Corydalis ambigua (Papaveraceae)","container-title":"Oecologia","page":"25-30","volume":"98","issue":"1","source":"link.springer.com","abstract":"Female reproductive success (seed set) of a spring ephemeral plant, Corydalis ambigua Cham. et schlecht (Papaveraceae) was investigated in relation to inflorescence size and foraging behavior (frequency and duration of visitations) by pollinators (namely, overwintered queens of Bombus hypocrita sapporensis) by detailed daily observations of a natural population. Pollination experiments indicated that C. ambigua is self-incompatible and that seed set was significantly affected by the behavior of the pollinating queens. Plants with larger inflorescences were visited more often than those with fewer flowers. Fecundity also increased with increasing size of inflorescences. Visitation time (duration of foraging) rather than the frequency of visitations (number of visits) was critical for higher fecundity. Seed production was strongly enhanced by a few long visits (of more than 60 s), and seemed to be independent of large numbers of short visits (of less than 60 s). Hence, plants with larger inflorescences, which provide a conspicuous signal to pollinators and offer greater rewards in terms of nectar, received longer visits by B. hypocrita sapporensis queens and those plants exhibited higher fecundity.","DOI":"10.1007/BF00326086","ISSN":"0029-8549, 1432-1939","journalAbbreviation":"Oecologia","language":"en","author":[{"family":"Ohara","given":"M."},{"family":"Higashi","given":"S."}],"issued":{"date-parts":[["1994",6,1]]}},"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1718E5">
        <w:rPr>
          <w:rFonts w:ascii="MS Gothic" w:hAnsi="MS Gothic" w:cs="MS Gothic"/>
        </w:rPr>
        <w:instrText>␣</w:instrText>
      </w:r>
      <w:r w:rsidR="001718E5">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A."}],"issued":{"date-parts":[["1998",2]]}},"label":"page"}],"schema":"https://github.com/citation-style-language/schema/raw/master/csl-citation.json"} </w:instrText>
      </w:r>
      <w:r w:rsidR="00597EF7">
        <w:fldChar w:fldCharType="separate"/>
      </w:r>
      <w:r w:rsidR="001718E5" w:rsidRPr="001718E5">
        <w:rPr>
          <w:rFonts w:cs="Times New Roman"/>
        </w:rPr>
        <w:t xml:space="preserve">(e.g. Primack 1987; Klinkhamer, de Jong &amp; de Bruyn 1989; Ohara &amp; Higashi 1994; </w:t>
      </w:r>
      <w:r w:rsidR="001718E5" w:rsidRPr="001718E5">
        <w:rPr>
          <w:rFonts w:cs="Times New Roman"/>
        </w:rPr>
        <w:lastRenderedPageBreak/>
        <w:t>Goulson et al. 1998)</w:t>
      </w:r>
      <w:ins w:id="14" w:author="Dr Elizabeth Wenk  [2]" w:date="2017-02-14T13:37:00Z">
        <w:r w:rsidR="00597EF7">
          <w:fldChar w:fldCharType="end"/>
        </w:r>
      </w:ins>
      <w:r w:rsidRPr="003C3342">
        <w:t xml:space="preserve">, but </w:t>
      </w:r>
      <w:r>
        <w:t xml:space="preserve">the literature had not led us to expect </w:t>
      </w:r>
      <w:r w:rsidRPr="003C3342">
        <w:t xml:space="preserve">a flat relationship for </w:t>
      </w:r>
      <w:r w:rsidR="002C42E5">
        <w:t xml:space="preserve">all </w:t>
      </w:r>
      <w:r w:rsidRPr="003C3342">
        <w:t>14 species</w:t>
      </w:r>
      <w:r>
        <w:t xml:space="preserve"> </w:t>
      </w:r>
      <w:r w:rsidRPr="003C3342">
        <w:t>(</w:t>
      </w:r>
      <w:r>
        <w:t>Supplementary Material</w:t>
      </w:r>
      <w:r w:rsidR="00261620">
        <w:t xml:space="preserve"> S16</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77777777" w:rsidR="00FF1706" w:rsidRDefault="00FF1706" w:rsidP="00FF1706">
      <w:r w:rsidRPr="003C3342">
        <w:t xml:space="preserve">Realistic estimates of </w:t>
      </w:r>
      <w:r>
        <w:t xml:space="preserve">RE </w:t>
      </w:r>
      <w:r w:rsidRPr="003C3342">
        <w:t xml:space="preserve">are essential </w:t>
      </w:r>
      <w:r>
        <w:t>for many research questions: 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Ehrlen 2002; Miller </w:t>
      </w:r>
      <w:r w:rsidRPr="00181612">
        <w:rPr>
          <w:rFonts w:cs="Times New Roman"/>
          <w:i/>
          <w:iCs/>
        </w:rPr>
        <w:t>et al.</w:t>
      </w:r>
      <w:r w:rsidRPr="00181612">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0B20BD3" w14:textId="77777777" w:rsidR="002C42E5"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00261620">
        <w:t xml:space="preserve"> S17</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t>
      </w:r>
      <w:r w:rsidRPr="003C3342">
        <w:lastRenderedPageBreak/>
        <w:t xml:space="preserve">weight for the species </w:t>
      </w:r>
      <w:r>
        <w:t xml:space="preserve">would be </w:t>
      </w:r>
      <w:r w:rsidRPr="003C3342">
        <w:t>a manageable prospect</w:t>
      </w:r>
      <w:r w:rsidR="002C42E5">
        <w:t xml:space="preserve"> </w:t>
      </w:r>
      <w:r w:rsidR="002C42E5">
        <w:t>and give you a quite accurate estimate of total RE</w:t>
      </w:r>
      <w:r w:rsidR="002C42E5" w:rsidRPr="003C3342">
        <w:t>.</w:t>
      </w:r>
      <w:r w:rsidR="002C42E5">
        <w:t xml:space="preserve"> </w:t>
      </w:r>
    </w:p>
    <w:p w14:paraId="2655A659" w14:textId="77777777" w:rsidR="002C42E5" w:rsidRPr="003C3342" w:rsidRDefault="002C42E5" w:rsidP="002C42E5">
      <w:r>
        <w:t>Conversely, t</w:t>
      </w:r>
      <w:r w:rsidRPr="003C3342">
        <w:t xml:space="preserve">hese results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Pr="00181612">
        <w:rPr>
          <w:rFonts w:cs="Times New Roman"/>
        </w:rPr>
        <w:t>(Shipley &amp; Dion 1992)</w:t>
      </w:r>
      <w:r>
        <w:fldChar w:fldCharType="end"/>
      </w:r>
      <w:r>
        <w:t>, seed count or seed investment must be determined for each individual for perennial species with relatively low seedset</w:t>
      </w:r>
      <w:r w:rsidRPr="003C3342">
        <w:t>.</w:t>
      </w:r>
    </w:p>
    <w:p w14:paraId="473E7F72" w14:textId="5A366732"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Therefore, although the number of initiated buds is</w:t>
      </w:r>
      <w:r w:rsidR="001718E5">
        <w:t xml:space="preserve"> reasonably</w:t>
      </w:r>
      <w:r w:rsidRPr="003C3342">
        <w:t xml:space="preserve"> well-predicted by plant size (for most species)</w:t>
      </w:r>
      <w:r w:rsidR="00261620">
        <w:t xml:space="preserve"> (Supplementary Material Table S18)</w:t>
      </w:r>
      <w:r w:rsidRPr="003C3342">
        <w:t xml:space="preserve"> and is in turn tightly correlated with total reproductive investment (for all species), the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183F1363" w:rsidR="00FF1706" w:rsidRPr="003C3342" w:rsidRDefault="001718E5" w:rsidP="00FF1706">
      <w:pPr>
        <w:pStyle w:val="Heading2"/>
      </w:pPr>
      <w:r>
        <w:t>Methodological c</w:t>
      </w:r>
      <w:r w:rsidR="00FF1706" w:rsidRPr="003C3342">
        <w:t>onsiderations</w:t>
      </w:r>
    </w:p>
    <w:p w14:paraId="3BDD726E" w14:textId="7777777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w:t>
      </w:r>
      <w:r w:rsidRPr="003C3342">
        <w:lastRenderedPageBreak/>
        <w:t xml:space="preserve">total reproductive investment by ~20% for </w:t>
      </w:r>
      <w:r w:rsidRPr="003C3342">
        <w:rPr>
          <w:i/>
        </w:rPr>
        <w:t>Grevillea speciosa</w:t>
      </w:r>
      <w:r w:rsidRPr="003C3342">
        <w:t xml:space="preserve">, 10% for </w:t>
      </w:r>
      <w:r w:rsidRPr="003C3342">
        <w:rPr>
          <w:i/>
        </w:rPr>
        <w:t>Hakea teretifolia</w:t>
      </w:r>
      <w:r w:rsidRPr="003C3342">
        <w:t>, and well under 5% for the other two species</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4BE9589D" w14:textId="0949EB4A" w:rsidR="004C4F4A" w:rsidRDefault="004C4F4A" w:rsidP="004C4F4A">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Previous studies indicate </w:t>
      </w:r>
      <w:r>
        <w:t xml:space="preserve">that using </w:t>
      </w:r>
      <w:r w:rsidR="001718E5">
        <w:t xml:space="preserve">the concentration of </w:t>
      </w:r>
      <w:r>
        <w:t xml:space="preserve">a limiting mineral </w:t>
      </w:r>
      <w:r w:rsidRPr="003C3342">
        <w:t>nutrient</w:t>
      </w:r>
      <w:r>
        <w:t xml:space="preserve"> to calculate nutrient allocations may be a better measure of a plant’s allocation choices</w:t>
      </w:r>
      <w:r w:rsidRPr="003C3342">
        <w:t xml:space="preserve">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 xml:space="preserve">(Reekie &amp; Bazzaz 1987b; Ashman 1994; Rosenheim </w:t>
      </w:r>
      <w:r w:rsidRPr="00181612">
        <w:rPr>
          <w:rFonts w:cs="Times New Roman"/>
          <w:i/>
          <w:iCs/>
        </w:rPr>
        <w:t>et al.</w:t>
      </w:r>
      <w:r w:rsidRPr="00181612">
        <w:rPr>
          <w:rFonts w:cs="Times New Roman"/>
        </w:rPr>
        <w:t xml:space="preserve"> 2014)</w:t>
      </w:r>
      <w:r w:rsidRPr="003C3342">
        <w:fldChar w:fldCharType="end"/>
      </w:r>
      <w:r w:rsidRPr="003C3342">
        <w:t xml:space="preserve">, but also that all currencies yield similar results. </w:t>
      </w:r>
      <w:r>
        <w:t>For example, nectar production</w:t>
      </w:r>
      <w:r w:rsidR="00AE2EC8">
        <w:t>, in comparison to reproductive tissues such as seeds,</w:t>
      </w:r>
      <w:r>
        <w:t xml:space="preserve"> might seem relatively less expensive</w:t>
      </w:r>
      <w:r w:rsidR="00AE2EC8">
        <w:t>,</w:t>
      </w:r>
      <w:r>
        <w:t xml:space="preserve"> in units of P than in units of </w:t>
      </w:r>
      <w:r w:rsidR="00AE2EC8">
        <w:t>dry weight or energy</w:t>
      </w:r>
      <w:r>
        <w:t xml:space="preserve">, potentially relevant for a community growing on low P soils. </w:t>
      </w:r>
      <w:r w:rsidRPr="003C3342">
        <w:t xml:space="preserve">This is a direction for future investigations. </w:t>
      </w:r>
    </w:p>
    <w:p w14:paraId="7B13F351" w14:textId="1D9BB5E0" w:rsidR="00FF1706" w:rsidRDefault="00FF1706" w:rsidP="00FF1706">
      <w:r>
        <w:t xml:space="preserve">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(Cohen 1976; Reekie &amp; Bazzaz 1987a; Wesselingh 2007)</w:t>
      </w:r>
      <w:r>
        <w:fldChar w:fldCharType="end"/>
      </w:r>
      <w:r>
        <w:t>. It can be argued that their dry mass is not a fair measure of cost, with some of it being paid back from their own photosynthesis. Against this, it can be argued that all the plant's photosynthesis should be considered a common pool of resource, and dry mass of different parts fairly reflects the relative allocation to different activities</w:t>
      </w:r>
      <w:r w:rsidR="00AE2EC8">
        <w:t xml:space="preserve"> and tissue functions</w:t>
      </w:r>
      <w:r>
        <w:t xml:space="preserve">.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w:t>
      </w:r>
      <w:r w:rsidRPr="008A6743">
        <w:rPr>
          <w:color w:val="000000" w:themeColor="text1"/>
        </w:rPr>
        <w:lastRenderedPageBreak/>
        <w:t xml:space="preserve">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Burd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77777777" w:rsidR="00FF1706" w:rsidRPr="003C3342" w:rsidRDefault="00FF1706" w:rsidP="00FF1706"/>
    <w:p w14:paraId="14716889" w14:textId="3AF4467D" w:rsidR="00FF1706" w:rsidRDefault="00FF1706" w:rsidP="00FF1706">
      <w:commentRangeStart w:id="15"/>
      <w:r w:rsidRPr="003C3342">
        <w:t xml:space="preserve">The coastal heath community in eastern Australia has been </w:t>
      </w:r>
      <w:r>
        <w:t>often</w:t>
      </w:r>
      <w:r w:rsidRPr="003C3342">
        <w:t xml:space="preserve"> studied, both as a focal point for data collection on trait ecology and because of a general interest in the family Proteaceae, a dominant in this and many nearby communities</w:t>
      </w:r>
      <w:r>
        <w:t>. Seven</w:t>
      </w:r>
      <w:r w:rsidRPr="003C3342">
        <w:t xml:space="preserve"> of the 14 species in this study are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and to produce large woody fruits designed to allow seeds to withstand the frequent fires and then germinate following fire. Five species of </w:t>
      </w:r>
      <w:r w:rsidRPr="003C3342">
        <w:rPr>
          <w:i/>
        </w:rPr>
        <w:t>G</w:t>
      </w:r>
      <w:r>
        <w:rPr>
          <w:i/>
        </w:rPr>
        <w:t>r</w:t>
      </w:r>
      <w:r w:rsidRPr="003C3342">
        <w:rPr>
          <w:i/>
        </w:rPr>
        <w:t xml:space="preserve">evillea </w:t>
      </w:r>
      <w:r w:rsidRPr="003C3342">
        <w:t xml:space="preserve">studied in communities nearby had fruit set between 1.5-9.6% </w:t>
      </w:r>
      <w:r w:rsidRPr="003C3342">
        <w:fldChar w:fldCharType="begin"/>
      </w:r>
      <w:r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similar to the seedset of the two species growing at our study site (Table 1). </w:t>
      </w:r>
      <w:r w:rsidRPr="003C3342">
        <w:rPr>
          <w:i/>
        </w:rPr>
        <w:t>Banksia ericifolia</w:t>
      </w:r>
      <w:r w:rsidRPr="003C3342">
        <w:t xml:space="preserve">, </w:t>
      </w:r>
      <w:r w:rsidRPr="003C3342">
        <w:rPr>
          <w:i/>
        </w:rPr>
        <w:t>Hakea teretifolia</w:t>
      </w:r>
      <w:r w:rsidRPr="003C3342">
        <w:t xml:space="preserve">, and </w:t>
      </w:r>
      <w:r w:rsidRPr="003C3342">
        <w:rPr>
          <w:i/>
        </w:rPr>
        <w:t>Petrophile pulchella</w:t>
      </w:r>
      <w:r w:rsidRPr="003C3342">
        <w:t xml:space="preserve"> all have fire-resistant fruits, and </w:t>
      </w:r>
      <w:r w:rsidRPr="003C3342">
        <w:rPr>
          <w:i/>
        </w:rPr>
        <w:t>Banksia</w:t>
      </w:r>
      <w:r w:rsidRPr="003C3342">
        <w:t xml:space="preserve"> </w:t>
      </w:r>
      <w:r w:rsidRPr="003C3342">
        <w:rPr>
          <w:i/>
        </w:rPr>
        <w:t>ericifolia</w:t>
      </w:r>
      <w:r w:rsidRPr="003C3342">
        <w:t xml:space="preserve"> and </w:t>
      </w:r>
      <w:r w:rsidRPr="003C3342">
        <w:rPr>
          <w:i/>
        </w:rPr>
        <w:t>Hakea</w:t>
      </w:r>
      <w:r w:rsidRPr="003C3342">
        <w:t xml:space="preserve"> </w:t>
      </w:r>
      <w:r w:rsidRPr="003C3342">
        <w:rPr>
          <w:i/>
        </w:rPr>
        <w:t>teretifolia</w:t>
      </w:r>
      <w:r w:rsidRPr="003C3342">
        <w:t xml:space="preserve"> have the largest seeds and </w:t>
      </w:r>
      <w:r w:rsidR="002B16C2" w:rsidRPr="003C3342">
        <w:rPr>
          <w:i/>
        </w:rPr>
        <w:t>Banksia</w:t>
      </w:r>
      <w:r w:rsidR="002B16C2" w:rsidRPr="003C3342">
        <w:t xml:space="preserve"> </w:t>
      </w:r>
      <w:r w:rsidR="002B16C2" w:rsidRPr="003C3342">
        <w:rPr>
          <w:i/>
        </w:rPr>
        <w:t>ericifolia</w:t>
      </w:r>
      <w:r w:rsidR="002B16C2" w:rsidRPr="003C3342">
        <w:t xml:space="preserve"> </w:t>
      </w:r>
      <w:r w:rsidR="002B16C2">
        <w:t xml:space="preserve">and </w:t>
      </w:r>
      <w:r w:rsidR="002B16C2" w:rsidRPr="003C3342">
        <w:rPr>
          <w:i/>
        </w:rPr>
        <w:t>Petrophile pulchella</w:t>
      </w:r>
      <w:r w:rsidR="002B16C2" w:rsidRPr="003C3342">
        <w:t xml:space="preserve"> </w:t>
      </w:r>
      <w:r>
        <w:t xml:space="preserve">the </w:t>
      </w:r>
      <w:r w:rsidRPr="003C3342">
        <w:t xml:space="preserve">greatest packaging and dispersal investment among the species in this study. </w:t>
      </w:r>
      <w:r>
        <w:t>A</w:t>
      </w:r>
      <w:r w:rsidRPr="003C3342">
        <w:t xml:space="preserve">lthough none of the species included in the study are explicitly masting species, the two cone-producing species, </w:t>
      </w:r>
      <w:r w:rsidRPr="003C3342">
        <w:rPr>
          <w:i/>
        </w:rPr>
        <w:t>Banksia</w:t>
      </w:r>
      <w:r w:rsidRPr="003C3342">
        <w:t xml:space="preserve"> </w:t>
      </w:r>
      <w:r w:rsidRPr="003C3342">
        <w:rPr>
          <w:i/>
        </w:rPr>
        <w:t>ericifolia</w:t>
      </w:r>
      <w:r w:rsidRPr="003C3342">
        <w:t xml:space="preserve"> and </w:t>
      </w:r>
      <w:r w:rsidRPr="003C3342">
        <w:rPr>
          <w:i/>
        </w:rPr>
        <w:t>Petrophile</w:t>
      </w:r>
      <w:r>
        <w:rPr>
          <w:i/>
        </w:rPr>
        <w:t xml:space="preserve"> </w:t>
      </w:r>
      <w:r w:rsidRPr="003C3342">
        <w:rPr>
          <w:i/>
        </w:rPr>
        <w:t>pulchella</w:t>
      </w:r>
      <w:r w:rsidRPr="003C3342">
        <w:t xml:space="preserve">, do not form seeds </w:t>
      </w:r>
      <w:r>
        <w:t>every</w:t>
      </w:r>
      <w:r w:rsidRPr="003C3342">
        <w:t xml:space="preserve"> year (pers. obs.). This is shown at the population level by the large number of reproductively mature individuals that do not produce any seeds – or sometimes even any buds – in a given year. </w:t>
      </w:r>
      <w:commentRangeStart w:id="16"/>
      <w:r w:rsidRPr="003C3342">
        <w:t xml:space="preserve">As has been shown in other species of </w:t>
      </w:r>
      <w:r w:rsidRPr="003C3342">
        <w:rPr>
          <w:i/>
        </w:rPr>
        <w:t>Banksia</w:t>
      </w:r>
      <w:r w:rsidRPr="003C3342">
        <w:t xml:space="preserve"> </w:t>
      </w:r>
      <w:r w:rsidRPr="003C3342">
        <w:fldChar w:fldCharType="begin"/>
      </w:r>
      <w:r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Pr="003C3342">
        <w:fldChar w:fldCharType="separate"/>
      </w:r>
      <w:r w:rsidRPr="00181612">
        <w:rPr>
          <w:rFonts w:cs="Times New Roman"/>
        </w:rPr>
        <w:t>(Copland &amp; Whelan 1989)</w:t>
      </w:r>
      <w:r w:rsidRPr="003C3342">
        <w:fldChar w:fldCharType="end"/>
      </w:r>
      <w:r w:rsidRPr="003C3342">
        <w:t xml:space="preserve">, the inter-annual variability in seed production for these species may be due to resource limitation in the year following seed production. </w:t>
      </w:r>
      <w:commentRangeEnd w:id="16"/>
      <w:r>
        <w:rPr>
          <w:rStyle w:val="CommentReference"/>
        </w:rPr>
        <w:commentReference w:id="16"/>
      </w:r>
      <w:commentRangeEnd w:id="15"/>
      <w:r w:rsidR="002B16C2">
        <w:rPr>
          <w:rStyle w:val="CommentReference"/>
        </w:rPr>
        <w:commentReference w:id="15"/>
      </w:r>
    </w:p>
    <w:p w14:paraId="5DC4147A" w14:textId="77777777" w:rsidR="00FF1706" w:rsidRDefault="00FF1706" w:rsidP="00FF1706">
      <w:pPr>
        <w:pStyle w:val="Heading2"/>
      </w:pPr>
      <w:r>
        <w:lastRenderedPageBreak/>
        <w:t>Conclusions</w:t>
      </w:r>
    </w:p>
    <w:p w14:paraId="46527BD0" w14:textId="432F46E5"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w:t>
      </w:r>
      <w:ins w:id="17" w:author="Dr Elizabeth Wenk  [2]" w:date="2017-02-14T14:15:00Z">
        <w:r w:rsidR="00AE2EC8">
          <w:t xml:space="preserve">of </w:t>
        </w:r>
      </w:ins>
      <w:r>
        <w:t xml:space="preserve">pollen-attraction tissues and ovule count. Large-seeded, low seedset species have proportionally less costly pollen-attraction tissues and on average produce a proportionally larger excess of ovules relative to the seeds they are able to provision. </w:t>
      </w:r>
    </w:p>
    <w:p w14:paraId="325B5F28" w14:textId="645CCF59" w:rsidR="004F6B2C" w:rsidRDefault="004F6B2C" w:rsidP="000C4B85">
      <w:pPr>
        <w:pStyle w:val="Heading1"/>
      </w:pPr>
      <w:r w:rsidRPr="003C3342">
        <w:rPr>
          <w:rFonts w:cs="Times New Roman"/>
        </w:rPr>
        <w:t>References</w:t>
      </w:r>
    </w:p>
    <w:p w14:paraId="70ED3879" w14:textId="77777777" w:rsidR="001718E5" w:rsidRDefault="000C4B85" w:rsidP="001718E5">
      <w:pPr>
        <w:pStyle w:val="Bibliography"/>
      </w:pPr>
      <w:r>
        <w:fldChar w:fldCharType="begin"/>
      </w:r>
      <w:ins w:id="18" w:author="Dr Elizabeth Wenk  [3]" w:date="2017-02-14T13:43:00Z">
        <w:r w:rsidR="00597EF7">
          <w:instrText xml:space="preserve"> ADDIN ZOTERO_BIBL {"custom":[]} CSL_BIBLIOGRAPHY </w:instrText>
        </w:r>
      </w:ins>
      <w:del w:id="19" w:author="Dr Elizabeth Wenk  [3]" w:date="2017-02-14T13:43:00Z">
        <w:r w:rsidDel="00597EF7">
          <w:delInstrText xml:space="preserve"> ADDIN ZOTERO_BIBL {"custom":[]} CSL_BIBLIOGRAPHY </w:delInstrText>
        </w:r>
      </w:del>
      <w:r>
        <w:fldChar w:fldCharType="separate"/>
      </w:r>
      <w:r w:rsidR="001718E5">
        <w:t xml:space="preserve">Ashman, T. (1994) Reproductive allocation in hermaphrodite and female plants of </w:t>
      </w:r>
      <w:r w:rsidR="001718E5">
        <w:rPr>
          <w:i/>
          <w:iCs/>
        </w:rPr>
        <w:t>Sidalcea oregana</w:t>
      </w:r>
      <w:r w:rsidR="001718E5">
        <w:t xml:space="preserve"> ssp </w:t>
      </w:r>
      <w:r w:rsidR="001718E5">
        <w:rPr>
          <w:i/>
          <w:iCs/>
        </w:rPr>
        <w:t>spicata</w:t>
      </w:r>
      <w:r w:rsidR="001718E5">
        <w:t xml:space="preserve"> (Malvaceae) using 4 currencies. </w:t>
      </w:r>
      <w:r w:rsidR="001718E5">
        <w:rPr>
          <w:i/>
          <w:iCs/>
        </w:rPr>
        <w:t>American Journal of Botany</w:t>
      </w:r>
      <w:r w:rsidR="001718E5">
        <w:t xml:space="preserve">, </w:t>
      </w:r>
      <w:r w:rsidR="001718E5">
        <w:rPr>
          <w:b/>
          <w:bCs/>
        </w:rPr>
        <w:t>81</w:t>
      </w:r>
      <w:r w:rsidR="001718E5">
        <w:t>, 433–438.</w:t>
      </w:r>
    </w:p>
    <w:p w14:paraId="579C5E5C" w14:textId="77777777" w:rsidR="001718E5" w:rsidRDefault="001718E5" w:rsidP="001718E5">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4DCD88C" w14:textId="77777777" w:rsidR="001718E5" w:rsidRDefault="001718E5" w:rsidP="001718E5">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476C46A1" w14:textId="77777777" w:rsidR="001718E5" w:rsidRDefault="001718E5" w:rsidP="001718E5">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1FDE6B2D" w14:textId="77777777" w:rsidR="001718E5" w:rsidRDefault="001718E5" w:rsidP="001718E5">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32C26B46" w14:textId="77777777" w:rsidR="001718E5" w:rsidRDefault="001718E5" w:rsidP="001718E5">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679A32AC" w14:textId="77777777" w:rsidR="001718E5" w:rsidRDefault="001718E5" w:rsidP="001718E5">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2196CCF3" w14:textId="77777777" w:rsidR="001718E5" w:rsidRDefault="001718E5" w:rsidP="001718E5">
      <w:pPr>
        <w:pStyle w:val="Bibliography"/>
      </w:pPr>
      <w:r>
        <w:lastRenderedPageBreak/>
        <w:t xml:space="preserve">Burd, M. (2016) Pollen Limitation Is Common-Should It Be? </w:t>
      </w:r>
      <w:r>
        <w:rPr>
          <w:i/>
          <w:iCs/>
        </w:rPr>
        <w:t>The American Naturalist</w:t>
      </w:r>
      <w:r>
        <w:t xml:space="preserve">, </w:t>
      </w:r>
      <w:r>
        <w:rPr>
          <w:b/>
          <w:bCs/>
        </w:rPr>
        <w:t>187</w:t>
      </w:r>
      <w:r>
        <w:t>, 388–396.</w:t>
      </w:r>
    </w:p>
    <w:p w14:paraId="31413F4D" w14:textId="77777777" w:rsidR="001718E5" w:rsidRDefault="001718E5" w:rsidP="001718E5">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2F262937" w14:textId="77777777" w:rsidR="001718E5" w:rsidRDefault="001718E5" w:rsidP="001718E5">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6607FE51" w14:textId="77777777" w:rsidR="001718E5" w:rsidRDefault="001718E5" w:rsidP="001718E5">
      <w:pPr>
        <w:pStyle w:val="Bibliography"/>
      </w:pPr>
      <w:r>
        <w:t xml:space="preserve">Cohen, D. (1976) The optimal timing of reproduction. </w:t>
      </w:r>
      <w:r>
        <w:rPr>
          <w:i/>
          <w:iCs/>
        </w:rPr>
        <w:t>The American Naturalist</w:t>
      </w:r>
      <w:r>
        <w:t xml:space="preserve">, </w:t>
      </w:r>
      <w:r>
        <w:rPr>
          <w:b/>
          <w:bCs/>
        </w:rPr>
        <w:t>110</w:t>
      </w:r>
      <w:r>
        <w:t>, 801.</w:t>
      </w:r>
    </w:p>
    <w:p w14:paraId="5BB4535F" w14:textId="77777777" w:rsidR="001718E5" w:rsidRDefault="001718E5" w:rsidP="001718E5">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2FEF5D92" w14:textId="77777777" w:rsidR="001718E5" w:rsidRDefault="001718E5" w:rsidP="001718E5">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0CE57FC3" w14:textId="77777777" w:rsidR="001718E5" w:rsidRDefault="001718E5" w:rsidP="001718E5">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5B630786" w14:textId="77777777" w:rsidR="001718E5" w:rsidRDefault="001718E5" w:rsidP="001718E5">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0124758D" w14:textId="77777777" w:rsidR="001718E5" w:rsidRDefault="001718E5" w:rsidP="001718E5">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6EBE5BD7" w14:textId="77777777" w:rsidR="001718E5" w:rsidRDefault="001718E5" w:rsidP="001718E5">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17D63B19" w14:textId="77777777" w:rsidR="001718E5" w:rsidRDefault="001718E5" w:rsidP="001718E5">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10A5F3FE" w14:textId="77777777" w:rsidR="001718E5" w:rsidRDefault="001718E5" w:rsidP="001718E5">
      <w:pPr>
        <w:pStyle w:val="Bibliography"/>
      </w:pPr>
      <w:r>
        <w:t xml:space="preserve">Goulson, D., Stout, J.C., Hawson, S.A. &amp; Allen, J.A. (1998) Floral display size in comfrey, </w:t>
      </w:r>
      <w:r>
        <w:rPr>
          <w:i/>
          <w:iCs/>
        </w:rPr>
        <w:t>Symphytum officinale</w:t>
      </w:r>
      <w:r>
        <w:t xml:space="preserve"> L. (Boraginaceae): relationships with visitation by three bumblebee species and subsequent seed set. </w:t>
      </w:r>
      <w:r>
        <w:rPr>
          <w:i/>
          <w:iCs/>
        </w:rPr>
        <w:t>Oecologia</w:t>
      </w:r>
      <w:r>
        <w:t xml:space="preserve">, </w:t>
      </w:r>
      <w:r>
        <w:rPr>
          <w:b/>
          <w:bCs/>
        </w:rPr>
        <w:t>113</w:t>
      </w:r>
      <w:r>
        <w:t>, 502–508.</w:t>
      </w:r>
    </w:p>
    <w:p w14:paraId="498E1CCE" w14:textId="77777777" w:rsidR="001718E5" w:rsidRDefault="001718E5" w:rsidP="001718E5">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6BF3FA40" w14:textId="77777777" w:rsidR="001718E5" w:rsidRDefault="001718E5" w:rsidP="001718E5">
      <w:pPr>
        <w:pStyle w:val="Bibliography"/>
      </w:pPr>
      <w:r>
        <w:t xml:space="preserve">Haig, D. &amp; Westoby, M. (1988) On limits to seed production. </w:t>
      </w:r>
      <w:r>
        <w:rPr>
          <w:i/>
          <w:iCs/>
        </w:rPr>
        <w:t>American Naturalist</w:t>
      </w:r>
      <w:r>
        <w:t xml:space="preserve">, </w:t>
      </w:r>
      <w:r>
        <w:rPr>
          <w:b/>
          <w:bCs/>
        </w:rPr>
        <w:t>131</w:t>
      </w:r>
      <w:r>
        <w:t>, 757–759.</w:t>
      </w:r>
    </w:p>
    <w:p w14:paraId="09D46D47" w14:textId="77777777" w:rsidR="001718E5" w:rsidRDefault="001718E5" w:rsidP="001718E5">
      <w:pPr>
        <w:pStyle w:val="Bibliography"/>
      </w:pPr>
      <w:r>
        <w:t xml:space="preserve">Harder, L.D. &amp; Barrett, S.C.H. (2006) </w:t>
      </w:r>
      <w:r>
        <w:rPr>
          <w:i/>
          <w:iCs/>
        </w:rPr>
        <w:t>Ecology and Evolution of Flowers</w:t>
      </w:r>
      <w:r>
        <w:t>. Oxford University Press.</w:t>
      </w:r>
    </w:p>
    <w:p w14:paraId="3570F25E" w14:textId="77777777" w:rsidR="001718E5" w:rsidRDefault="001718E5" w:rsidP="001718E5">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490ED51E" w14:textId="77777777" w:rsidR="001718E5" w:rsidRDefault="001718E5" w:rsidP="001718E5">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5912B8FD" w14:textId="77777777" w:rsidR="001718E5" w:rsidRDefault="001718E5" w:rsidP="001718E5">
      <w:pPr>
        <w:pStyle w:val="Bibliography"/>
      </w:pPr>
      <w:r>
        <w:lastRenderedPageBreak/>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3E4F9AA0" w14:textId="77777777" w:rsidR="001718E5" w:rsidRDefault="001718E5" w:rsidP="001718E5">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0EEBC85D" w14:textId="77777777" w:rsidR="001718E5" w:rsidRDefault="001718E5" w:rsidP="001718E5">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06726245" w14:textId="77777777" w:rsidR="001718E5" w:rsidRDefault="001718E5" w:rsidP="001718E5">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6D30934E" w14:textId="77777777" w:rsidR="001718E5" w:rsidRDefault="001718E5" w:rsidP="001718E5">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7B9017E9" w14:textId="77777777" w:rsidR="001718E5" w:rsidRDefault="001718E5" w:rsidP="001718E5">
      <w:pPr>
        <w:pStyle w:val="Bibliography"/>
      </w:pPr>
      <w:r>
        <w:t xml:space="preserve">Kelly, D. (1994) The evolutionary ecology of mast seeding. </w:t>
      </w:r>
      <w:r>
        <w:rPr>
          <w:i/>
          <w:iCs/>
        </w:rPr>
        <w:t>Trends in Ecology &amp; Evolution</w:t>
      </w:r>
      <w:r>
        <w:t xml:space="preserve">, </w:t>
      </w:r>
      <w:r>
        <w:rPr>
          <w:b/>
          <w:bCs/>
        </w:rPr>
        <w:t>9</w:t>
      </w:r>
      <w:r>
        <w:t>, 465–470.</w:t>
      </w:r>
    </w:p>
    <w:p w14:paraId="61F23A28" w14:textId="77777777" w:rsidR="001718E5" w:rsidRDefault="001718E5" w:rsidP="001718E5">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24ADFBC1" w14:textId="77777777" w:rsidR="001718E5" w:rsidRDefault="001718E5" w:rsidP="001718E5">
      <w:pPr>
        <w:pStyle w:val="Bibliography"/>
      </w:pPr>
      <w:r>
        <w:t xml:space="preserve">Klinkhamer, P.G.L., de Jong, T.J. &amp; de Bruyn, G.-J. (1989) Plant Size and Pollinator Visitation in Cynoglossum Officinale. </w:t>
      </w:r>
      <w:r>
        <w:rPr>
          <w:i/>
          <w:iCs/>
        </w:rPr>
        <w:t>Oikos</w:t>
      </w:r>
      <w:r>
        <w:t xml:space="preserve">, </w:t>
      </w:r>
      <w:r>
        <w:rPr>
          <w:b/>
          <w:bCs/>
        </w:rPr>
        <w:t>54</w:t>
      </w:r>
      <w:r>
        <w:t>, 201–204.</w:t>
      </w:r>
    </w:p>
    <w:p w14:paraId="419FF22E" w14:textId="77777777" w:rsidR="001718E5" w:rsidRDefault="001718E5" w:rsidP="001718E5">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301AAB19" w14:textId="77777777" w:rsidR="001718E5" w:rsidRDefault="001718E5" w:rsidP="001718E5">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0A22B680" w14:textId="77777777" w:rsidR="001718E5" w:rsidRDefault="001718E5" w:rsidP="001718E5">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70C00CDC" w14:textId="77777777" w:rsidR="001718E5" w:rsidRDefault="001718E5" w:rsidP="001718E5">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12BA5540" w14:textId="77777777" w:rsidR="001718E5" w:rsidRDefault="001718E5" w:rsidP="001718E5">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11653F83" w14:textId="77777777" w:rsidR="001718E5" w:rsidRDefault="001718E5" w:rsidP="001718E5">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74422E19" w14:textId="77777777" w:rsidR="001718E5" w:rsidRDefault="001718E5" w:rsidP="001718E5">
      <w:pPr>
        <w:pStyle w:val="Bibliography"/>
      </w:pPr>
      <w:r>
        <w:t xml:space="preserve">Lord, J.M. &amp; Westoby, M. (2006) Accessory costs of seed production. </w:t>
      </w:r>
      <w:r>
        <w:rPr>
          <w:i/>
          <w:iCs/>
        </w:rPr>
        <w:t>Oecologia</w:t>
      </w:r>
      <w:r>
        <w:t xml:space="preserve">, </w:t>
      </w:r>
      <w:r>
        <w:rPr>
          <w:b/>
          <w:bCs/>
        </w:rPr>
        <w:t>150</w:t>
      </w:r>
      <w:r>
        <w:t>, 310–317.</w:t>
      </w:r>
    </w:p>
    <w:p w14:paraId="29EF670D" w14:textId="77777777" w:rsidR="001718E5" w:rsidRDefault="001718E5" w:rsidP="001718E5">
      <w:pPr>
        <w:pStyle w:val="Bibliography"/>
      </w:pPr>
      <w:r>
        <w:lastRenderedPageBreak/>
        <w:t xml:space="preserve">Lord, J.M. &amp; Westoby, M. (2012) Accessory costs of seed production and the evolution of angiosperms. </w:t>
      </w:r>
      <w:r>
        <w:rPr>
          <w:i/>
          <w:iCs/>
        </w:rPr>
        <w:t>Evolution</w:t>
      </w:r>
      <w:r>
        <w:t xml:space="preserve">, </w:t>
      </w:r>
      <w:r>
        <w:rPr>
          <w:b/>
          <w:bCs/>
        </w:rPr>
        <w:t>66</w:t>
      </w:r>
      <w:r>
        <w:t>, 200–210.</w:t>
      </w:r>
    </w:p>
    <w:p w14:paraId="60511BD6" w14:textId="77777777" w:rsidR="001718E5" w:rsidRDefault="001718E5" w:rsidP="001718E5">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22A5D0D6" w14:textId="77777777" w:rsidR="001718E5" w:rsidRDefault="001718E5" w:rsidP="001718E5">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4E497164" w14:textId="77777777" w:rsidR="001718E5" w:rsidRDefault="001718E5" w:rsidP="001718E5">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728FE663" w14:textId="77777777" w:rsidR="001718E5" w:rsidRDefault="001718E5" w:rsidP="001718E5">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158654BC" w14:textId="77777777" w:rsidR="001718E5" w:rsidRDefault="001718E5" w:rsidP="001718E5">
      <w:pPr>
        <w:pStyle w:val="Bibliography"/>
      </w:pPr>
      <w:r>
        <w:t xml:space="preserve">Mock, D.W. &amp; Forbes, L.S. (1995) The evolution of parental optimism. </w:t>
      </w:r>
      <w:r>
        <w:rPr>
          <w:i/>
          <w:iCs/>
        </w:rPr>
        <w:t>Trends in Ecology &amp; Evolution</w:t>
      </w:r>
      <w:r>
        <w:t xml:space="preserve">, </w:t>
      </w:r>
      <w:r>
        <w:rPr>
          <w:b/>
          <w:bCs/>
        </w:rPr>
        <w:t>10</w:t>
      </w:r>
      <w:r>
        <w:t>, 130–134.</w:t>
      </w:r>
    </w:p>
    <w:p w14:paraId="5D6D7202" w14:textId="77777777" w:rsidR="001718E5" w:rsidRDefault="001718E5" w:rsidP="001718E5">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4ABB9C07" w14:textId="77777777" w:rsidR="001718E5" w:rsidRDefault="001718E5" w:rsidP="001718E5">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1A5DA890" w14:textId="77777777" w:rsidR="001718E5" w:rsidRDefault="001718E5" w:rsidP="001718E5">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161864FF" w14:textId="77777777" w:rsidR="001718E5" w:rsidRDefault="001718E5" w:rsidP="001718E5">
      <w:pPr>
        <w:pStyle w:val="Bibliography"/>
      </w:pPr>
      <w:r>
        <w:t xml:space="preserve">Moles, A.T. &amp; Westoby, M. (2006) Seed size and plant strategy across the whole life cycle. </w:t>
      </w:r>
      <w:r>
        <w:rPr>
          <w:i/>
          <w:iCs/>
        </w:rPr>
        <w:t>Oikos</w:t>
      </w:r>
      <w:r>
        <w:t xml:space="preserve">, </w:t>
      </w:r>
      <w:r>
        <w:rPr>
          <w:b/>
          <w:bCs/>
        </w:rPr>
        <w:t>113</w:t>
      </w:r>
      <w:r>
        <w:t>, 91–105.</w:t>
      </w:r>
    </w:p>
    <w:p w14:paraId="40E74575" w14:textId="77777777" w:rsidR="001718E5" w:rsidRDefault="001718E5" w:rsidP="001718E5">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03606389" w14:textId="77777777" w:rsidR="001718E5" w:rsidRDefault="001718E5" w:rsidP="001718E5">
      <w:pPr>
        <w:pStyle w:val="Bibliography"/>
      </w:pPr>
      <w:r>
        <w:t xml:space="preserve">NSW Office of the Environment. (2006) </w:t>
      </w:r>
      <w:r>
        <w:rPr>
          <w:i/>
          <w:iCs/>
        </w:rPr>
        <w:t>Ku-Ring-Gai Chase National Park Fire Management Strategy</w:t>
      </w:r>
      <w:r>
        <w:t>.</w:t>
      </w:r>
    </w:p>
    <w:p w14:paraId="23D743EE" w14:textId="77777777" w:rsidR="001718E5" w:rsidRDefault="001718E5" w:rsidP="001718E5">
      <w:pPr>
        <w:pStyle w:val="Bibliography"/>
      </w:pPr>
      <w:r>
        <w:t xml:space="preserve">Obeso, J.R. (2002) The costs of reproduction in plants. </w:t>
      </w:r>
      <w:r>
        <w:rPr>
          <w:i/>
          <w:iCs/>
        </w:rPr>
        <w:t>New Phytologist</w:t>
      </w:r>
      <w:r>
        <w:t xml:space="preserve">, </w:t>
      </w:r>
      <w:r>
        <w:rPr>
          <w:b/>
          <w:bCs/>
        </w:rPr>
        <w:t>155</w:t>
      </w:r>
      <w:r>
        <w:t>, 321–348.</w:t>
      </w:r>
    </w:p>
    <w:p w14:paraId="1455CE0A" w14:textId="77777777" w:rsidR="001718E5" w:rsidRDefault="001718E5" w:rsidP="001718E5">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3ACE2189" w14:textId="77777777" w:rsidR="001718E5" w:rsidRDefault="001718E5" w:rsidP="001718E5">
      <w:pPr>
        <w:pStyle w:val="Bibliography"/>
      </w:pPr>
      <w:r>
        <w:t xml:space="preserve">Ohara, M. &amp; Higashi, S. (1994) Effects of inflorescence size on visits from pollinators and seed set of Corydalis ambigua (Papaveraceae). </w:t>
      </w:r>
      <w:r>
        <w:rPr>
          <w:i/>
          <w:iCs/>
        </w:rPr>
        <w:t>Oecologia</w:t>
      </w:r>
      <w:r>
        <w:t xml:space="preserve">, </w:t>
      </w:r>
      <w:r>
        <w:rPr>
          <w:b/>
          <w:bCs/>
        </w:rPr>
        <w:t>98</w:t>
      </w:r>
      <w:r>
        <w:t>, 25–30.</w:t>
      </w:r>
    </w:p>
    <w:p w14:paraId="10E95EB0" w14:textId="77777777" w:rsidR="001718E5" w:rsidRDefault="001718E5" w:rsidP="001718E5">
      <w:pPr>
        <w:pStyle w:val="Bibliography"/>
      </w:pPr>
      <w:r>
        <w:t xml:space="preserve">Primack, R.B. (1987) Relationships Among Flowers, Fruits, and Seeds. </w:t>
      </w:r>
      <w:r>
        <w:rPr>
          <w:i/>
          <w:iCs/>
        </w:rPr>
        <w:t>Annual Review of Ecology and Systematics</w:t>
      </w:r>
      <w:r>
        <w:t xml:space="preserve">, </w:t>
      </w:r>
      <w:r>
        <w:rPr>
          <w:b/>
          <w:bCs/>
        </w:rPr>
        <w:t>18</w:t>
      </w:r>
      <w:r>
        <w:t>, 409–430.</w:t>
      </w:r>
    </w:p>
    <w:p w14:paraId="63E23836" w14:textId="77777777" w:rsidR="001718E5" w:rsidRDefault="001718E5" w:rsidP="001718E5">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78936B3F" w14:textId="77777777" w:rsidR="001718E5" w:rsidRDefault="001718E5" w:rsidP="001718E5">
      <w:pPr>
        <w:pStyle w:val="Bibliography"/>
      </w:pPr>
      <w:r>
        <w:lastRenderedPageBreak/>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4A8644D9" w14:textId="77777777" w:rsidR="001718E5" w:rsidRDefault="001718E5" w:rsidP="001718E5">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1C0C2781" w14:textId="77777777" w:rsidR="001718E5" w:rsidRDefault="001718E5" w:rsidP="001718E5">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19543E35" w14:textId="77777777" w:rsidR="001718E5" w:rsidRDefault="001718E5" w:rsidP="001718E5">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4FE32F86" w14:textId="77777777" w:rsidR="001718E5" w:rsidRDefault="001718E5" w:rsidP="001718E5">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59A31154" w14:textId="77777777" w:rsidR="001718E5" w:rsidRDefault="001718E5" w:rsidP="001718E5">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5FDCA1B3" w14:textId="77777777" w:rsidR="001718E5" w:rsidRDefault="001718E5" w:rsidP="001718E5">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2E34363B" w14:textId="77777777" w:rsidR="001718E5" w:rsidRDefault="001718E5" w:rsidP="001718E5">
      <w:pPr>
        <w:pStyle w:val="Bibliography"/>
      </w:pPr>
      <w:r>
        <w:t xml:space="preserve">Rosenheim, J.A., Schreiber, S.J. &amp; Williams, N.M. (2015) Does an “oversupply” of ovules cause pollen limitation? </w:t>
      </w:r>
      <w:r>
        <w:rPr>
          <w:i/>
          <w:iCs/>
        </w:rPr>
        <w:t>New Phytologist</w:t>
      </w:r>
      <w:r>
        <w:t>, n/a-n/a.</w:t>
      </w:r>
    </w:p>
    <w:p w14:paraId="241145FC" w14:textId="77777777" w:rsidR="001718E5" w:rsidRDefault="001718E5" w:rsidP="001718E5">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45B69223" w14:textId="77777777" w:rsidR="001718E5" w:rsidRDefault="001718E5" w:rsidP="001718E5">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08112E65" w14:textId="77777777" w:rsidR="001718E5" w:rsidRDefault="001718E5" w:rsidP="001718E5">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162D9ED4" w14:textId="77777777" w:rsidR="001718E5" w:rsidRDefault="001718E5" w:rsidP="001718E5">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6F32DF17" w14:textId="77777777" w:rsidR="001718E5" w:rsidRDefault="001718E5" w:rsidP="001718E5">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0DA5586A" w14:textId="77777777" w:rsidR="001718E5" w:rsidRDefault="001718E5" w:rsidP="001718E5">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1B3D9315" w14:textId="77777777" w:rsidR="001718E5" w:rsidRDefault="001718E5" w:rsidP="001718E5">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2440456D" w14:textId="77777777" w:rsidR="001718E5" w:rsidRDefault="001718E5" w:rsidP="001718E5">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50B4344C" w14:textId="77777777" w:rsidR="001718E5" w:rsidRDefault="001718E5" w:rsidP="001718E5">
      <w:pPr>
        <w:pStyle w:val="Bibliography"/>
      </w:pPr>
      <w:r>
        <w:lastRenderedPageBreak/>
        <w:t xml:space="preserve">Smith, C.C. &amp; Fretwell, S.D. (1974) The Optimal Balance between Size and Number of Offspring. </w:t>
      </w:r>
      <w:r>
        <w:rPr>
          <w:i/>
          <w:iCs/>
        </w:rPr>
        <w:t>The American Naturalist</w:t>
      </w:r>
      <w:r>
        <w:t xml:space="preserve">, </w:t>
      </w:r>
      <w:r>
        <w:rPr>
          <w:b/>
          <w:bCs/>
        </w:rPr>
        <w:t>108</w:t>
      </w:r>
      <w:r>
        <w:t>, 499–506.</w:t>
      </w:r>
    </w:p>
    <w:p w14:paraId="2C472F50" w14:textId="77777777" w:rsidR="001718E5" w:rsidRDefault="001718E5" w:rsidP="001718E5">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41EED286" w14:textId="77777777" w:rsidR="001718E5" w:rsidRDefault="001718E5" w:rsidP="001718E5">
      <w:pPr>
        <w:pStyle w:val="Bibliography"/>
      </w:pPr>
      <w:r>
        <w:t xml:space="preserve">Sutherland, S. (1986) Patterns of fruit-set: what controls fruit-flower ratios in plants? </w:t>
      </w:r>
      <w:r>
        <w:rPr>
          <w:i/>
          <w:iCs/>
        </w:rPr>
        <w:t>Evolution</w:t>
      </w:r>
      <w:r>
        <w:t xml:space="preserve">, </w:t>
      </w:r>
      <w:r>
        <w:rPr>
          <w:b/>
          <w:bCs/>
        </w:rPr>
        <w:t>40</w:t>
      </w:r>
      <w:r>
        <w:t>, 117–128.</w:t>
      </w:r>
    </w:p>
    <w:p w14:paraId="020F3CF2" w14:textId="77777777" w:rsidR="001718E5" w:rsidRDefault="001718E5" w:rsidP="001718E5">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1DA1B05C" w14:textId="77777777" w:rsidR="001718E5" w:rsidRDefault="001718E5" w:rsidP="001718E5">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5EF785D9" w14:textId="77777777" w:rsidR="001718E5" w:rsidRDefault="001718E5" w:rsidP="001718E5">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58D6D12A" w14:textId="77777777" w:rsidR="001718E5" w:rsidRDefault="001718E5" w:rsidP="001718E5">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44231159" w14:textId="77777777" w:rsidR="001718E5" w:rsidRDefault="001718E5" w:rsidP="001718E5">
      <w:pPr>
        <w:pStyle w:val="Bibliography"/>
      </w:pPr>
      <w:r>
        <w:t xml:space="preserve">Westoby, M. &amp; Rice, B. (1982) Evolution of the Seed Plants and Inclusive Fitness of Plant Tissues. </w:t>
      </w:r>
      <w:r>
        <w:rPr>
          <w:i/>
          <w:iCs/>
        </w:rPr>
        <w:t>Evolution</w:t>
      </w:r>
      <w:r>
        <w:t xml:space="preserve">, </w:t>
      </w:r>
      <w:r>
        <w:rPr>
          <w:b/>
          <w:bCs/>
        </w:rPr>
        <w:t>36</w:t>
      </w:r>
      <w:r>
        <w:t>, 713–724.</w:t>
      </w:r>
    </w:p>
    <w:p w14:paraId="105D5C0D" w14:textId="77777777" w:rsidR="001718E5" w:rsidRDefault="001718E5" w:rsidP="001718E5">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68A11498" w14:textId="77777777" w:rsidR="001718E5" w:rsidRDefault="001718E5" w:rsidP="001718E5">
      <w:pPr>
        <w:pStyle w:val="Bibliography"/>
      </w:pPr>
      <w:r>
        <w:t xml:space="preserve">Willson, M.F. &amp; Burley, N. (1983) </w:t>
      </w:r>
      <w:r>
        <w:rPr>
          <w:i/>
          <w:iCs/>
        </w:rPr>
        <w:t>Mate Choice in Plants: Tactics, Mechanisms, and Consequences</w:t>
      </w:r>
      <w:r>
        <w:t>. Princeton University Press.</w:t>
      </w:r>
    </w:p>
    <w:p w14:paraId="069FFC11" w14:textId="77777777" w:rsidR="001718E5" w:rsidRDefault="001718E5" w:rsidP="001718E5">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CD1DD6" w:rsidRDefault="00CD1DD6"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CD1DD6" w:rsidRDefault="00CD1DD6"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CD1DD6" w:rsidRDefault="00CD1DD6">
      <w:pPr>
        <w:pStyle w:val="CommentText"/>
      </w:pPr>
    </w:p>
  </w:comment>
  <w:comment w:id="1" w:author="Daniel Falster" w:date="2016-08-29T13:12:00Z" w:initials="DF">
    <w:p w14:paraId="2AAADB8C" w14:textId="570732B9" w:rsidR="00CD1DD6" w:rsidRDefault="00CD1DD6">
      <w:pPr>
        <w:pStyle w:val="CommentText"/>
      </w:pPr>
      <w:r>
        <w:rPr>
          <w:rStyle w:val="CommentReference"/>
        </w:rPr>
        <w:annotationRef/>
      </w:r>
      <w:r w:rsidRPr="003C3342">
        <w:t>http://www.journals.uchicago.edu/journals/an/instruct</w:t>
      </w:r>
    </w:p>
    <w:p w14:paraId="4A31C510" w14:textId="42B35B96" w:rsidR="00CD1DD6" w:rsidRDefault="00CD1DD6">
      <w:pPr>
        <w:pStyle w:val="CommentText"/>
      </w:pPr>
      <w:r w:rsidRPr="003C3342">
        <w:t>21 manuscript pages or fewer of text, not includin</w:t>
      </w:r>
      <w:r>
        <w:t>g the literature cited,</w:t>
      </w:r>
      <w:r w:rsidRPr="003C3342">
        <w:t xml:space="preserve"> no more than six tables and/or figures</w:t>
      </w:r>
    </w:p>
  </w:comment>
  <w:comment w:id="5" w:author="Mark Westoby" w:date="2016-12-13T11:49:00Z" w:initials="MW">
    <w:p w14:paraId="247C0D4D" w14:textId="77777777" w:rsidR="00CD1DD6" w:rsidRDefault="00CD1DD6" w:rsidP="0015698B">
      <w:pPr>
        <w:pStyle w:val="CommentText"/>
      </w:pPr>
      <w:r>
        <w:rPr>
          <w:rStyle w:val="CommentReference"/>
        </w:rPr>
        <w:annotationRef/>
      </w:r>
      <w:r>
        <w:t xml:space="preserve">ensuing structure doesn't seem quite right. First of the two has a bold header but second doesn't. Then needs to be clear when you've finished with these two sub-trade-offs, and come back to treating them as a single spectrum </w:t>
      </w:r>
    </w:p>
  </w:comment>
  <w:comment w:id="13" w:author="Mark Westoby" w:date="2016-12-14T17:17:00Z" w:initials="MW">
    <w:p w14:paraId="1F7F75C8" w14:textId="77777777" w:rsidR="0080160D" w:rsidRDefault="0080160D" w:rsidP="0080160D">
      <w:pPr>
        <w:pStyle w:val="CommentText"/>
      </w:pPr>
      <w:r>
        <w:rPr>
          <w:rStyle w:val="CommentReference"/>
        </w:rPr>
        <w:annotationRef/>
      </w:r>
      <w:r>
        <w:t>this form of words surely can't possibly be right</w:t>
      </w:r>
    </w:p>
    <w:p w14:paraId="77D64541" w14:textId="77777777" w:rsidR="0080160D" w:rsidRDefault="0080160D" w:rsidP="0080160D">
      <w:pPr>
        <w:pStyle w:val="CommentText"/>
      </w:pPr>
    </w:p>
    <w:p w14:paraId="722BD961" w14:textId="77777777" w:rsidR="0080160D" w:rsidRDefault="0080160D" w:rsidP="0080160D">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173F475E" w14:textId="77777777" w:rsidR="0080160D" w:rsidRDefault="0080160D" w:rsidP="0080160D">
      <w:pPr>
        <w:pStyle w:val="CommentText"/>
      </w:pPr>
    </w:p>
    <w:p w14:paraId="71A18EA1" w14:textId="77777777" w:rsidR="0080160D" w:rsidRDefault="0080160D" w:rsidP="0080160D">
      <w:pPr>
        <w:pStyle w:val="CommentText"/>
      </w:pPr>
      <w:r>
        <w:t>This somehow connects to the closing para of the sentence dealing with higher per seedling survivorship from large seeds. This is very well documented by direct evidence, but I don't really see how the allometries from Table 2 or Fig 2f add much to the evidence for it.</w:t>
      </w:r>
    </w:p>
    <w:p w14:paraId="5DE99A24" w14:textId="77777777" w:rsidR="0080160D" w:rsidRDefault="0080160D" w:rsidP="0080160D">
      <w:pPr>
        <w:pStyle w:val="CommentText"/>
      </w:pPr>
    </w:p>
    <w:p w14:paraId="65CB4765" w14:textId="77777777" w:rsidR="0080160D" w:rsidRDefault="0080160D" w:rsidP="0080160D">
      <w:pPr>
        <w:pStyle w:val="CommentText"/>
      </w:pPr>
      <w:r>
        <w:t>I feel this whole para needs rewriting, but I'm not clear enough in my mind about where it's going to suggest a rewrite at this stage</w:t>
      </w:r>
    </w:p>
    <w:p w14:paraId="427ED23F" w14:textId="77777777" w:rsidR="0080160D" w:rsidRDefault="0080160D" w:rsidP="0080160D">
      <w:pPr>
        <w:pStyle w:val="CommentText"/>
      </w:pPr>
    </w:p>
  </w:comment>
  <w:comment w:id="16" w:author="Mark Westoby" w:date="2016-12-15T14:11:00Z" w:initials="MW">
    <w:p w14:paraId="66967D0C" w14:textId="77777777" w:rsidR="00CD1DD6" w:rsidRDefault="00CD1DD6" w:rsidP="00FF1706">
      <w:pPr>
        <w:pStyle w:val="CommentText"/>
      </w:pPr>
      <w:r>
        <w:rPr>
          <w:rStyle w:val="CommentReference"/>
        </w:rPr>
        <w:annotationRef/>
      </w:r>
      <w:r>
        <w:t>not very clear to me what's the point of this para's discussion of Proteaceae -- is the idea that results from these spp may be atypical?</w:t>
      </w:r>
    </w:p>
  </w:comment>
  <w:comment w:id="15" w:author="Dr Elizabeth Wenk  [2]" w:date="2017-02-14T14:19:00Z" w:initials="DEW">
    <w:p w14:paraId="4701AFF5" w14:textId="42EE757E" w:rsidR="002B16C2" w:rsidRDefault="002B16C2">
      <w:pPr>
        <w:pStyle w:val="CommentText"/>
      </w:pPr>
      <w:r>
        <w:rPr>
          <w:rStyle w:val="CommentReference"/>
        </w:rPr>
        <w:annotationRef/>
      </w:r>
      <w:r>
        <w:t>I’m trying to remember if we decided to completely remove this. I have no problems with doing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247C0D4D" w15:done="0"/>
  <w15:commentEx w15:paraId="427ED23F" w15:done="0"/>
  <w15:commentEx w15:paraId="66967D0C" w15:done="0"/>
  <w15:commentEx w15:paraId="4701AF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00063" w14:textId="77777777" w:rsidR="004B7FB2" w:rsidRDefault="004B7FB2" w:rsidP="00991A62">
      <w:pPr>
        <w:spacing w:after="0" w:line="240" w:lineRule="auto"/>
      </w:pPr>
      <w:r>
        <w:separator/>
      </w:r>
    </w:p>
  </w:endnote>
  <w:endnote w:type="continuationSeparator" w:id="0">
    <w:p w14:paraId="512E7336" w14:textId="77777777" w:rsidR="004B7FB2" w:rsidRDefault="004B7FB2"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CD1DD6" w:rsidRDefault="00CD1DD6">
        <w:pPr>
          <w:pStyle w:val="Footer"/>
          <w:jc w:val="right"/>
        </w:pPr>
        <w:r>
          <w:fldChar w:fldCharType="begin"/>
        </w:r>
        <w:r>
          <w:instrText xml:space="preserve"> PAGE   \* MERGEFORMAT </w:instrText>
        </w:r>
        <w:r>
          <w:fldChar w:fldCharType="separate"/>
        </w:r>
        <w:r w:rsidR="00CD55D6">
          <w:rPr>
            <w:noProof/>
          </w:rPr>
          <w:t>9</w:t>
        </w:r>
        <w:r>
          <w:rPr>
            <w:noProof/>
          </w:rPr>
          <w:fldChar w:fldCharType="end"/>
        </w:r>
      </w:p>
    </w:sdtContent>
  </w:sdt>
  <w:p w14:paraId="2E4FBA35" w14:textId="77777777" w:rsidR="00CD1DD6" w:rsidRDefault="00CD1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33682" w14:textId="77777777" w:rsidR="004B7FB2" w:rsidRDefault="004B7FB2" w:rsidP="00991A62">
      <w:pPr>
        <w:spacing w:after="0" w:line="240" w:lineRule="auto"/>
      </w:pPr>
      <w:r>
        <w:separator/>
      </w:r>
    </w:p>
  </w:footnote>
  <w:footnote w:type="continuationSeparator" w:id="0">
    <w:p w14:paraId="0D2AA3B4" w14:textId="77777777" w:rsidR="004B7FB2" w:rsidRDefault="004B7FB2"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Mark Westoby">
    <w15:presenceInfo w15:providerId="None" w15:userId="Mark Westoby"/>
  </w15:person>
  <w15:person w15:author="Dr Elizabeth Wenk  [2]">
    <w15:presenceInfo w15:providerId="AD" w15:userId="S-1-5-21-1594774353-775871607-213974443-252582"/>
  </w15:person>
  <w15:person w15:author="Dr Elizabeth Wenk  [3]">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A6D"/>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8E5"/>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16C2"/>
    <w:rsid w:val="002B21FA"/>
    <w:rsid w:val="002B609D"/>
    <w:rsid w:val="002C0BBE"/>
    <w:rsid w:val="002C1C9B"/>
    <w:rsid w:val="002C42E5"/>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928"/>
    <w:rsid w:val="00372B31"/>
    <w:rsid w:val="0037517E"/>
    <w:rsid w:val="003778D5"/>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67F9E"/>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B7FB2"/>
    <w:rsid w:val="004C4579"/>
    <w:rsid w:val="004C4F4A"/>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6C78"/>
    <w:rsid w:val="005970FD"/>
    <w:rsid w:val="00597EF7"/>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2AF"/>
    <w:rsid w:val="006879A2"/>
    <w:rsid w:val="00687D3A"/>
    <w:rsid w:val="006908AF"/>
    <w:rsid w:val="00690BBE"/>
    <w:rsid w:val="0069106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160D"/>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2CB3"/>
    <w:rsid w:val="0092677D"/>
    <w:rsid w:val="00926CD4"/>
    <w:rsid w:val="00926EAA"/>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9F7124"/>
    <w:rsid w:val="009F7912"/>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2EC8"/>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60C3"/>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7FDB"/>
    <w:rsid w:val="00CB0C54"/>
    <w:rsid w:val="00CB0D0C"/>
    <w:rsid w:val="00CB1E7D"/>
    <w:rsid w:val="00CC03B7"/>
    <w:rsid w:val="00CC0462"/>
    <w:rsid w:val="00CC3F4A"/>
    <w:rsid w:val="00CC6902"/>
    <w:rsid w:val="00CD0530"/>
    <w:rsid w:val="00CD0718"/>
    <w:rsid w:val="00CD1DD6"/>
    <w:rsid w:val="00CD2594"/>
    <w:rsid w:val="00CD34F5"/>
    <w:rsid w:val="00CD548E"/>
    <w:rsid w:val="00CD55D6"/>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2BF"/>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289F"/>
    <w:rsid w:val="00E52DA4"/>
    <w:rsid w:val="00E52FF8"/>
    <w:rsid w:val="00E54199"/>
    <w:rsid w:val="00E573B8"/>
    <w:rsid w:val="00E57D6F"/>
    <w:rsid w:val="00E63B73"/>
    <w:rsid w:val="00E66565"/>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197F"/>
    <w:rsid w:val="00F1202D"/>
    <w:rsid w:val="00F13D56"/>
    <w:rsid w:val="00F2346D"/>
    <w:rsid w:val="00F235AD"/>
    <w:rsid w:val="00F239FF"/>
    <w:rsid w:val="00F24F0A"/>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80E44-D793-41B1-A60C-446E9FC2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TotalTime>
  <Pages>34</Pages>
  <Words>53351</Words>
  <Characters>304105</Characters>
  <Application>Microsoft Office Word</Application>
  <DocSecurity>0</DocSecurity>
  <Lines>2534</Lines>
  <Paragraphs>713</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356743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cp:lastPrinted>2016-03-21T02:58:00Z</cp:lastPrinted>
  <dcterms:created xsi:type="dcterms:W3CDTF">2017-02-02T03:54:00Z</dcterms:created>
  <dcterms:modified xsi:type="dcterms:W3CDTF">2017-02-14T04:09:00Z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id="lGSCZZUA"/&gt;&lt;style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