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bookmarkStart w:id="2" w:name="_GoBack"/>
      <w:bookmarkEnd w:id="2"/>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67219CAA"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9A035F">
        <w:t>success</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w:t>
      </w:r>
      <w:r w:rsidR="009A035F">
        <w:t>discarded</w:t>
      </w:r>
      <w:r w:rsidR="00B46287">
        <w:t xml:space="preserve"> tissue costs accounted for the largest proportion of RE for most species, </w:t>
      </w:r>
      <w:r w:rsidR="009A035F">
        <w:t>success</w:t>
      </w:r>
      <w:r w:rsidR="002D634E">
        <w:t xml:space="preser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58B58BD5"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w:t>
      </w:r>
      <w:r w:rsidR="00C839B7">
        <w:t xml:space="preserve">both </w:t>
      </w:r>
      <w:r w:rsidR="00FE77B8">
        <w:t xml:space="preserve">seeds </w:t>
      </w:r>
      <w:r w:rsidR="00C839B7">
        <w:t xml:space="preserve">as well as </w:t>
      </w:r>
      <w:r w:rsidRPr="003C3342">
        <w:t xml:space="preserve">the many other tissues associated with reproduction, termed </w:t>
      </w:r>
      <w:bookmarkStart w:id="3" w:name="OLE_LINK1"/>
      <w:bookmarkStart w:id="4" w:name="OLE_LINK2"/>
      <w:r w:rsidRPr="003C3342">
        <w:t>accessory costs</w:t>
      </w:r>
      <w:bookmarkEnd w:id="3"/>
      <w:bookmarkEnd w:id="4"/>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3A138F57"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per seed matured are the</w:t>
      </w:r>
      <w:r w:rsidR="002D634E">
        <w:rPr>
          <w:i/>
        </w:rPr>
        <w:t xml:space="preserve"> </w:t>
      </w:r>
      <w:r w:rsidR="00C53C0D">
        <w:rPr>
          <w:i/>
        </w:rPr>
        <w:t xml:space="preserve">reproductive </w:t>
      </w:r>
      <w:r w:rsidR="002D634E">
        <w:rPr>
          <w:i/>
        </w:rPr>
        <w:lastRenderedPageBreak/>
        <w:t>costs per seed</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Both 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w:t>
      </w:r>
      <w:r w:rsidR="00877031">
        <w:rPr>
          <w:i/>
        </w:rPr>
        <w:t xml:space="preserve">seed </w:t>
      </w:r>
      <w:r w:rsidR="00F51CF7">
        <w:rPr>
          <w:i/>
        </w:rPr>
        <w:t xml:space="preserve">costs, </w:t>
      </w:r>
      <w:r w:rsidR="00F51CF7">
        <w:t xml:space="preserve">i.e. 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proofErr w:type="gramStart"/>
      <w:r w:rsidR="0018528B">
        <w:t xml:space="preserve">, </w:t>
      </w:r>
      <w:r w:rsidR="004D5B90">
        <w:t xml:space="preserve"> all</w:t>
      </w:r>
      <w:proofErr w:type="gramEnd"/>
      <w:r w:rsidR="004D5B90">
        <w:t xml:space="preserve">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7B216741"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r>
        <w:t xml:space="preserve">. </w:t>
      </w:r>
    </w:p>
    <w:p w14:paraId="656C6D7C" w14:textId="580A774C" w:rsidR="00C70B23" w:rsidRDefault="00D30364" w:rsidP="00C70B23">
      <w:r>
        <w:lastRenderedPageBreak/>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will 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4D5B90">
        <w:t xml:space="preserve">reproductive </w:t>
      </w:r>
      <w:r w:rsidR="00F41976">
        <w:t xml:space="preserve">energy pools </w:t>
      </w:r>
      <w:r w:rsidR="00E94EB2">
        <w:t xml:space="preserve">and reproductive parts counts </w:t>
      </w:r>
      <w:r w:rsidR="00F41976">
        <w:t xml:space="preserve">and here we </w:t>
      </w:r>
      <w:r w:rsidR="00085F30">
        <w:t xml:space="preserve">expand upon their hypotheses. The first is the well-supported seed size-seed number trade-off </w:t>
      </w:r>
      <w:r w:rsidR="00694609">
        <w:t xml:space="preserve">central </w:t>
      </w:r>
      <w:r w:rsidR="00E94EB2">
        <w:t xml:space="preserve">to </w:t>
      </w:r>
      <w:r w:rsidR="00694609">
        <w:t xml:space="preserve">the </w:t>
      </w:r>
      <w:r w:rsidR="00E94EB2">
        <w:t xml:space="preserve">plant functional trait literature </w:t>
      </w:r>
      <w:r w:rsidR="00085F30">
        <w:t xml:space="preserve">and the second is the seed set-pollen-attraction cost trade-off described in the parental optimist-parental pessimist literature. </w:t>
      </w:r>
    </w:p>
    <w:p w14:paraId="46C96615" w14:textId="1CFCACDC"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4D5B90">
        <w:t xml:space="preserve">leading to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t xml:space="preserve">Plants can divide this pool of energy into many small seeds or fewer larger seeds, such that a log-log plot of seed size versus scaled seed count should have a slope of -1 (Smith &amp; Fretwell 1974; Henery &amp; Westoby 2001; Sadras 2007). Very small and very large seeds represent endpoints of a continuous life history strategy (Rees &amp; Westoby 1997; Leishman 2001; Turnbull et al. 2004; Moles &amp; Westoby 2006),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F51CF7" w:rsidRPr="009E3306">
        <w:rPr>
          <w:rFonts w:cs="Times New Roman"/>
        </w:rPr>
        <w:t>(Moles &amp; Westoby 2006)</w:t>
      </w:r>
      <w:r w:rsidR="00F51CF7">
        <w:fldChar w:fldCharType="end"/>
      </w:r>
      <w:r w:rsidR="00F51CF7">
        <w:t xml:space="preserve">. </w:t>
      </w:r>
    </w:p>
    <w:p w14:paraId="7634BFB3" w14:textId="4AEA10FB" w:rsidR="00CF3967" w:rsidRDefault="00B24069" w:rsidP="00957CF9">
      <w:r>
        <w:t xml:space="preserve">While well-supported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trade-offs. First, we suggest plants, relative to their size, should invest a fixed amount of energy</w:t>
      </w:r>
      <w:r w:rsidR="00B07AD7">
        <w:t xml:space="preserve"> </w:t>
      </w:r>
      <w:r w:rsidR="004D5B90">
        <w:t xml:space="preserve">maturing </w:t>
      </w:r>
      <w:r w:rsidR="00694609">
        <w:t>ovule</w:t>
      </w:r>
      <w:r w:rsidR="004D5B90">
        <w:t>s</w:t>
      </w:r>
      <w:r w:rsidR="00694609">
        <w:t xml:space="preserve"> to the point of pollination</w:t>
      </w:r>
      <w:r w:rsidR="009603D7">
        <w:t xml:space="preserve">, depicted as a trade-off between pollen-attraction costs and the number of ovules that are displayed to pollinators (Figure 1b). </w:t>
      </w:r>
      <w:r w:rsidR="00B846EB">
        <w:t xml:space="preserve">Species with higher pollen-attraction costs will </w:t>
      </w:r>
      <w:r w:rsidR="00B846EB">
        <w:lastRenderedPageBreak/>
        <w:t xml:space="preserve">be able to produce fewer ovules. </w:t>
      </w:r>
      <w:r w:rsidR="009603D7">
        <w:t xml:space="preserve">Second, we hypothesize that plants, again relative to their size, should display a trade-off between total </w:t>
      </w:r>
      <w:commentRangeStart w:id="5"/>
      <w:r w:rsidR="006111CA">
        <w:t xml:space="preserve">reproductive </w:t>
      </w:r>
      <w:r w:rsidR="009603D7">
        <w:t xml:space="preserve">costs </w:t>
      </w:r>
      <w:commentRangeEnd w:id="5"/>
      <w:r w:rsidR="006111CA">
        <w:rPr>
          <w:rStyle w:val="CommentReference"/>
        </w:rPr>
        <w:commentReference w:id="5"/>
      </w:r>
      <w:r w:rsidR="009603D7">
        <w:t>and seed count (Figure 1b).</w:t>
      </w:r>
      <w:r w:rsidR="00550304">
        <w:t xml:space="preserve"> This trade-off is </w:t>
      </w:r>
      <w:r w:rsidR="00694609">
        <w:t xml:space="preserve">similar </w:t>
      </w:r>
      <w:r w:rsidR="00550304">
        <w:t xml:space="preserve">to the seed size-seed count trade-off, but includes all </w:t>
      </w:r>
      <w:r w:rsidR="006111CA">
        <w:t xml:space="preserve">of a plants reproductive energy expenditures </w:t>
      </w:r>
      <w:r w:rsidR="00550304">
        <w:t>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957CF9">
        <w:t xml:space="preserve">These are two independent trade-offs, each simply showing there exists a fixed pool of energy to spend. Species variation in seedset, the ratio of seed count to ovule count, provides the link between these two </w:t>
      </w:r>
      <w:proofErr w:type="gramStart"/>
      <w:r w:rsidR="00957CF9">
        <w:t>trade-</w:t>
      </w:r>
      <w:proofErr w:type="gramEnd"/>
      <w:r w:rsidR="00957CF9">
        <w:t xml:space="preserve">offs – and is itself one of the axes in the trade-off described below. </w:t>
      </w:r>
    </w:p>
    <w:p w14:paraId="576CB02E" w14:textId="3E7AB19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03FCCE66"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C70B23" w:rsidRPr="007444C4">
        <w:t xml:space="preserve">(Mock &amp; Forbes 1995; Burd 2008; Rosenheim </w:t>
      </w:r>
      <w:r w:rsidR="00C70B23" w:rsidRPr="007444C4">
        <w:rPr>
          <w:i/>
          <w:iCs/>
        </w:rPr>
        <w:t>et al.</w:t>
      </w:r>
      <w:r w:rsidR="00C70B23" w:rsidRPr="007444C4">
        <w:t xml:space="preserve"> 2014)</w:t>
      </w:r>
      <w:r w:rsidR="00C70B23" w:rsidRPr="003C3342">
        <w:fldChar w:fldCharType="end"/>
      </w:r>
      <w:r w:rsidR="00C70B23">
        <w:t xml:space="preserve">. A parental optimist is defined as a species that overproduces </w:t>
      </w:r>
      <w:r w:rsidR="00C70B23" w:rsidRPr="003C3342">
        <w:t xml:space="preserve">ovules, relatively few of which mature in an average year due to limited </w:t>
      </w:r>
      <w:r w:rsidR="00C70B23" w:rsidRPr="003C3342">
        <w:lastRenderedPageBreak/>
        <w:t xml:space="preserve">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432EE9C2"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requires that the plant provision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Pr="00C80ABD">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there is a large pool of excess embryos</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 is the most likely explanation for low seedset among parental optimists.)</w:t>
      </w:r>
    </w:p>
    <w:p w14:paraId="0BC10F31" w14:textId="24CA85B1" w:rsidR="0012287A" w:rsidRDefault="008D5690" w:rsidP="008D5690">
      <w:r>
        <w:lastRenderedPageBreak/>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At one end of the spectrum are species that produce 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252B64">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252B64" w:rsidRPr="0017467B">
        <w:rPr>
          <w:rFonts w:cs="Times New Roman"/>
        </w:rPr>
        <w:t>(Lord &amp; Westoby 2012)</w:t>
      </w:r>
      <w:r w:rsidR="00252B64">
        <w:fldChar w:fldCharType="end"/>
      </w:r>
      <w:r w:rsidR="00252B64">
        <w:t>.</w:t>
      </w:r>
      <w:r w:rsidR="00666BA3">
        <w:t xml:space="preserve"> </w:t>
      </w:r>
    </w:p>
    <w:p w14:paraId="1CD3D038" w14:textId="50CD2E7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 xml:space="preserve">With increase seed size, </w:t>
      </w:r>
      <w:r w:rsidR="00666BA3">
        <w:t xml:space="preserve">species will spend a decreasing proportion of their success costs on pollen-attraction costs, as they are expected to produce a large number of inexpensive ovules (Figure 1d). </w:t>
      </w:r>
      <w:r w:rsidR="001D74F4">
        <w:t>2) 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1e). </w:t>
      </w:r>
      <w:r w:rsidR="001D74F4">
        <w:t>3)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(Figure 1e).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lastRenderedPageBreak/>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0919768E"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001D74F4">
        <w:t xml:space="preserve">variables including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69543ACF"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w:t>
      </w:r>
      <w:r w:rsidR="00F514EA">
        <w:lastRenderedPageBreak/>
        <w:t xml:space="preserve">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w:t>
      </w:r>
      <w:r w:rsidR="006869F3" w:rsidRPr="003C3342">
        <w:lastRenderedPageBreak/>
        <w:t xml:space="preserve">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0DDAC3B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3EEB6A39"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w:t>
      </w:r>
      <w:r w:rsidR="000D0446">
        <w:lastRenderedPageBreak/>
        <w:t xml:space="preserve">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 weights 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70E7B129" w:rsidR="00A214E8" w:rsidRDefault="000D0446" w:rsidP="003C3342">
      <w:r>
        <w:t>To calculate the three success costs components, pollen-attraction costs, packaging and dispersal costs, and seed weight</w:t>
      </w:r>
      <w:r w:rsidR="0070304C">
        <w:t>,</w:t>
      </w:r>
      <w:r>
        <w:t xml:space="preserve"> the unit weight of reproductive parts required for the successful creation and 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weight was calculated by dividing the mass of the part at seed maturity by the number of seeds it supported. </w:t>
      </w:r>
      <w:r w:rsidR="000611F0">
        <w:t xml:space="preserve">For seed weight, we chose to designate the endosperm and embryo as the primary reproductive unit, for it provides a consistent comparison of tissue weights across species. It is hereafter referred to as </w:t>
      </w:r>
      <w:r w:rsidR="000611F0" w:rsidRPr="00563A09">
        <w:rPr>
          <w:i/>
        </w:rPr>
        <w:t>seed size</w:t>
      </w:r>
      <w:r w:rsidR="000611F0">
        <w:t xml:space="preserve">. In contrast, the propagule includes the seed coat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lastRenderedPageBreak/>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37FB71D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7C3E306"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w:t>
      </w:r>
      <w:r w:rsidR="009A035F">
        <w:lastRenderedPageBreak/>
        <w:t>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0AB0D88"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w:t>
      </w:r>
      <w:r>
        <w: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w:t>
      </w:r>
      <w:r w:rsidR="0026173D">
        <w:rPr>
          <w:rFonts w:eastAsia="Times New Roman"/>
          <w:color w:val="000000"/>
          <w:lang w:eastAsia="en-AU"/>
        </w:rPr>
        <w:lastRenderedPageBreak/>
        <w:t xml:space="preserve">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w:t>
      </w:r>
      <w:r w:rsidR="00F91906">
        <w:t>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84</w:t>
      </w:r>
      <w:r w:rsidR="00F91906">
        <w:rPr>
          <w:rFonts w:eastAsia="Times New Roman"/>
          <w:color w:val="000000"/>
          <w:lang w:eastAsia="en-AU"/>
        </w:rPr>
        <w:t xml:space="preserve">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4F55EE36"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0C9D54D4"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Larger-seeded species expend a greater proportion of their </w:t>
      </w:r>
      <w:r w:rsidR="004B2A69">
        <w:rPr>
          <w:i/>
        </w:rPr>
        <w:t>success costs</w:t>
      </w:r>
      <w:r w:rsidR="004B2A69">
        <w:t xml:space="preserve"> on provisioning tissues versus pollen-attraction tissues in comparison to smaller-seeded species (Figure 2c; r</w:t>
      </w:r>
      <w:r w:rsidR="004B2A69">
        <w:rPr>
          <w:vertAlign w:val="superscript"/>
        </w:rPr>
        <w:t>2</w:t>
      </w:r>
      <w:r w:rsidR="004B2A69">
        <w:t>= 0.80, p&lt;0.0001</w:t>
      </w:r>
      <w:r w:rsidR="00043187">
        <w:t>)</w:t>
      </w:r>
      <w:r w:rsidR="004B2A69">
        <w:t>. As seed size increases, there is also a trend toward increasing expenditure on discarded pollen-attraction tissues in comparison to successful pollen-attraction tissues (Figure 2d;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Increased seed size was only marginally related to a shift in the proportion of provisioning energy invested in successful versus discarded tissues, with larger-seeded species showing a slight increase in proportional investment in successful tissues (Figure 2e; r</w:t>
      </w:r>
      <w:r w:rsidR="004B2A69">
        <w:rPr>
          <w:vertAlign w:val="superscript"/>
        </w:rPr>
        <w:t>2</w:t>
      </w:r>
      <w:r w:rsidR="004B2A69">
        <w:t xml:space="preserve">= 0.24, p=0.0741). </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w:t>
      </w:r>
      <w:r>
        <w:lastRenderedPageBreak/>
        <w:t xml:space="preserve">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29411136"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1</w:t>
      </w:r>
      <w:r w:rsidR="00007746">
        <w:t xml:space="preserv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01C4D262"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00A27A66">
        <w:t xml:space="preserve"> and only four of the species had slopes and intercepts identical to the all-individuals regression (Supplementary Material)</w:t>
      </w:r>
      <w:r w:rsidRPr="003C3342">
        <w:t xml:space="preserve">. </w:t>
      </w:r>
    </w:p>
    <w:p w14:paraId="7030BD2A" w14:textId="4EA63A66"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w:t>
      </w:r>
      <w:r w:rsidRPr="003C3342">
        <w:lastRenderedPageBreak/>
        <w:t xml:space="preserve">measures that included investment in </w:t>
      </w:r>
      <w:r w:rsidR="009A035F">
        <w:t>discarded</w:t>
      </w:r>
      <w:r w:rsidRPr="003C3342">
        <w:t xml:space="preserve"> tissues (Table </w:t>
      </w:r>
      <w:r w:rsidR="00E3342E">
        <w:t>3</w:t>
      </w:r>
      <w:r w:rsidRPr="003C3342">
        <w:t xml:space="preserve">). In particular, note that the correlation 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7AC858C1" w:rsidR="00C9538A" w:rsidRPr="003C3342" w:rsidRDefault="00D345B6" w:rsidP="00DC5FAD">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8E625C">
        <w:t xml:space="preserve">there existed trade-offs between ovule count and pollen-attraction costs and between seed count and total </w:t>
      </w:r>
      <w:r w:rsidR="006111CA">
        <w:t>reproductive costs</w:t>
      </w:r>
      <w:r w:rsidR="008E625C">
        <w:t>, indicating these exists a fixed pool of energy to invest and species differ in the relative cost of a part versus the number of parts they can produce</w:t>
      </w:r>
      <w:r w:rsidR="00B95004">
        <w:t xml:space="preserve">. We also </w:t>
      </w:r>
      <w:r w:rsidR="008E625C">
        <w:t>observed a trade-off between choosiness, defined as the inverse of seedset, and pollen-attraction costs: species that expend less energy to produce an ovule pro</w:t>
      </w:r>
      <w:r w:rsidR="00DC5FAD">
        <w:t xml:space="preserve">duce a greater excess of </w:t>
      </w:r>
      <w:r w:rsidR="00DC5FAD">
        <w:lastRenderedPageBreak/>
        <w:t>ovules</w:t>
      </w:r>
      <w:r w:rsidR="00BA2D11">
        <w:t xml:space="preserve">. These are species at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BA2D11">
        <w:t xml:space="preserve">which have </w:t>
      </w:r>
      <w:r>
        <w:t>proportionally costlier provisioning tissues relative to pollen attraction tissues</w:t>
      </w:r>
      <w:r w:rsidR="00DC5FAD">
        <w:t xml:space="preserve"> </w:t>
      </w:r>
      <w:r w:rsidR="00DC5FAD">
        <w:fldChar w:fldCharType="begin"/>
      </w:r>
      <w:r w:rsidR="00DC5FAD">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DC5FAD">
        <w:fldChar w:fldCharType="separate"/>
      </w:r>
      <w:r w:rsidR="00DC5FAD" w:rsidRPr="00C9538A">
        <w:rPr>
          <w:rFonts w:cs="Times New Roman"/>
        </w:rPr>
        <w:t xml:space="preserve">(Rosenheim </w:t>
      </w:r>
      <w:r w:rsidR="00DC5FAD" w:rsidRPr="00C9538A">
        <w:rPr>
          <w:rFonts w:cs="Times New Roman"/>
          <w:i/>
          <w:iCs/>
        </w:rPr>
        <w:t>et al.</w:t>
      </w:r>
      <w:r w:rsidR="00DC5FAD" w:rsidRPr="00C9538A">
        <w:rPr>
          <w:rFonts w:cs="Times New Roman"/>
        </w:rPr>
        <w:t xml:space="preserve"> 2014)</w:t>
      </w:r>
      <w:r w:rsidR="00DC5FAD">
        <w:fldChar w:fldCharType="end"/>
      </w:r>
      <w:r>
        <w:t xml:space="preserve">. </w:t>
      </w:r>
      <w:r w:rsidR="00B95004">
        <w:t xml:space="preserve">Combining these lines of </w:t>
      </w:r>
      <w:r w:rsidR="00DC5FAD">
        <w:t>thought</w:t>
      </w:r>
      <w:r w:rsidR="00B95004">
        <w:t>,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1D3AC9BF"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7D50A3">
        <w:t xml:space="preserve">required </w:t>
      </w:r>
      <w:r>
        <w:t>costs</w:t>
      </w:r>
      <w:r w:rsidR="00E24109">
        <w:t xml:space="preserve">, designated </w:t>
      </w:r>
      <w:r w:rsidR="00E24109">
        <w:rPr>
          <w:i/>
        </w:rPr>
        <w:t>success costs</w:t>
      </w:r>
      <w:r w:rsidR="00E24109">
        <w:t>,</w:t>
      </w:r>
      <w:r>
        <w:t xml:space="preserve"> </w:t>
      </w:r>
      <w:r w:rsidR="007D50A3">
        <w:t xml:space="preserve">and </w:t>
      </w:r>
      <w:r w:rsidR="009A035F">
        <w:t>discarded</w:t>
      </w:r>
      <w:r w:rsidR="007D50A3">
        <w:t xml:space="preserve"> tissues (</w:t>
      </w:r>
      <w:r w:rsidR="00A27A66">
        <w:t xml:space="preserve">Figure 1a, </w:t>
      </w:r>
      <w:r w:rsidR="007D50A3">
        <w:t xml:space="preserve">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Obeso 2002; </w:t>
      </w:r>
      <w:proofErr w:type="gramStart"/>
      <w:r w:rsidR="00C80ABD">
        <w:t>Lord &amp;</w:t>
      </w:r>
      <w:proofErr w:type="gramEnd"/>
      <w:r w:rsidR="00C80ABD">
        <w:t xml:space="preserve"> Westoby 2006; Rosenheim et al. 2014; Wenk &amp; Falster 2015)</w:t>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w:t>
      </w:r>
      <w:r w:rsidR="009A035F">
        <w:t>discarded</w:t>
      </w:r>
      <w:r w:rsidR="00CF6A00">
        <w:t xml:space="preserve"> tissue costs and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4089224A" w:rsidR="006666E1" w:rsidRDefault="006666E1" w:rsidP="006666E1">
      <w:r>
        <w:t>The s</w:t>
      </w:r>
      <w:r w:rsidRPr="003C3342">
        <w:t>uccess-associated costs, are those required for the formation of a seed</w:t>
      </w:r>
      <w:r>
        <w:t xml:space="preserve">, and include </w:t>
      </w:r>
      <w:r w:rsidRPr="003C3342">
        <w:t xml:space="preserve">pollen attraction </w:t>
      </w:r>
      <w:r>
        <w:t>costs and seed provisioning costs, the latter divided into packaging and dispersal costs versus the seed itself</w:t>
      </w:r>
      <w:r w:rsidRPr="003C3342">
        <w:t xml:space="preserve"> (Figure 1</w:t>
      </w:r>
      <w:r>
        <w:t>a</w:t>
      </w:r>
      <w:r w:rsidRPr="003C3342">
        <w:t xml:space="preserve">, Table 1). </w:t>
      </w:r>
      <w:r>
        <w:t xml:space="preserve">The study species have diverse floral and fruiting </w:t>
      </w:r>
      <w:r>
        <w:lastRenderedPageBreak/>
        <w:t>structures, such that disparate tissues comprise success cost expenditures in different species.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xml:space="preserve">). </w:t>
      </w:r>
      <w:r>
        <w:t>These are tissues that must be produced to mature each seed and their exact structures have presumably evolved to optimize seed production</w:t>
      </w:r>
      <w:r w:rsidR="00A27A66">
        <w:t xml:space="preserve"> and survival</w:t>
      </w:r>
      <w:r>
        <w:t>.</w:t>
      </w:r>
      <w:r w:rsidRPr="003C3342">
        <w:t xml:space="preserve"> </w:t>
      </w:r>
    </w:p>
    <w:p w14:paraId="479F0A13" w14:textId="74777FE2"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 xml:space="preserve">the two species with </w:t>
      </w:r>
      <w:r>
        <w:t xml:space="preserve">very </w:t>
      </w:r>
      <w:r w:rsidR="00CF6A00">
        <w:t>high energy investment in woody 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buds and flowers that were aborted before seed provisioning became 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with</w:t>
      </w:r>
      <w:r w:rsidR="00A75365">
        <w:t xml:space="preserve"> a strong negative correlation between </w:t>
      </w:r>
      <w:r w:rsidR="0078147A">
        <w:t xml:space="preserve">species average </w:t>
      </w:r>
      <w:r w:rsidR="00A75365">
        <w:t xml:space="preserve">seedset and </w:t>
      </w:r>
      <w:r w:rsidR="005C653D">
        <w:t>the proportion of reproductive energy going to discarded tissues</w:t>
      </w:r>
      <w:r>
        <w:t xml:space="preserve"> in this study</w:t>
      </w:r>
      <w:r w:rsidR="005C653D">
        <w:t xml:space="preserve"> </w:t>
      </w:r>
      <w:r w:rsidR="00A75365">
        <w:t>(r</w:t>
      </w:r>
      <w:r w:rsidR="00A75365">
        <w:rPr>
          <w:vertAlign w:val="superscript"/>
        </w:rPr>
        <w:t>2</w:t>
      </w:r>
      <w:r w:rsidR="00A75365" w:rsidRPr="009F6139">
        <w:t>=0.</w:t>
      </w:r>
      <w:r w:rsidR="007A1477">
        <w:t>56</w:t>
      </w:r>
      <w:r w:rsidR="00A75365" w:rsidRPr="009F6139">
        <w:t>,</w:t>
      </w:r>
      <w:r w:rsidR="00A75365">
        <w:t xml:space="preserve"> p = 0.</w:t>
      </w:r>
      <w:r w:rsidR="007A1477">
        <w:t>00</w:t>
      </w:r>
      <w:r w:rsidR="007A1477">
        <w:t>31</w:t>
      </w:r>
      <w:r w:rsidR="007A1477">
        <w:t xml:space="preserve"> </w:t>
      </w:r>
      <w:r w:rsidR="00A75365">
        <w:t>w</w:t>
      </w:r>
      <w:r w:rsidR="00B04B52">
        <w:t>hen excluding the species</w:t>
      </w:r>
      <w:r w:rsidR="00CF6A00">
        <w:t xml:space="preserve"> producing the largest cones</w:t>
      </w:r>
      <w:r w:rsidR="00B04B52">
        <w:t>,</w:t>
      </w:r>
      <w:r w:rsidR="00B04B52">
        <w:rPr>
          <w:i/>
        </w:rPr>
        <w:t xml:space="preserve"> Banksia ericifolia</w:t>
      </w:r>
      <w:r w:rsidR="00731F33">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w:t>
      </w:r>
      <w:r w:rsidR="009F6139" w:rsidRPr="003C3342">
        <w:lastRenderedPageBreak/>
        <w:t xml:space="preserve">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r w:rsidR="00E045F3">
        <w:t>Additional zygotes will be lost during the provisioning period due to</w:t>
      </w:r>
      <w:r w:rsidR="00D53849">
        <w:t xml:space="preserve"> factors including</w:t>
      </w:r>
      <w:r w:rsidR="00E045F3">
        <w:t xml:space="preserve"> insect attack and poor environmental conditions.</w:t>
      </w:r>
    </w:p>
    <w:p w14:paraId="22E99958" w14:textId="4090BB05" w:rsidR="003A0B41" w:rsidRPr="003C3342" w:rsidRDefault="003A5E17" w:rsidP="00A50540">
      <w:r w:rsidRPr="003C3342">
        <w:t>In the following section we explore whether the relative investment in different accessory cost pools shift</w:t>
      </w:r>
      <w:r w:rsidR="003E5113">
        <w:t>ed</w:t>
      </w:r>
      <w:r w:rsidRPr="003C3342">
        <w:t xml:space="preserve"> predictably </w:t>
      </w:r>
      <w:r w:rsidR="00EE1F09">
        <w:t>based on three trade-offs</w:t>
      </w:r>
      <w:r w:rsidRPr="003C3342">
        <w:t>.</w:t>
      </w:r>
      <w:r w:rsidR="00F77E15" w:rsidRPr="00F77E15">
        <w:t xml:space="preserve"> </w:t>
      </w:r>
    </w:p>
    <w:p w14:paraId="5CC92B7A" w14:textId="282F7F66" w:rsidR="00AA3DEB" w:rsidRDefault="00AA3DEB" w:rsidP="003C3342">
      <w:pPr>
        <w:pStyle w:val="Heading2"/>
      </w:pPr>
      <w:r>
        <w:t>Count-cost and choosiness-</w:t>
      </w:r>
      <w:r w:rsidR="008E4F7F">
        <w:t>investment strategy</w:t>
      </w:r>
      <w:r w:rsidR="008E4F7F">
        <w:t xml:space="preserve"> </w:t>
      </w:r>
      <w:r>
        <w:t>trade-offs observed</w:t>
      </w:r>
    </w:p>
    <w:p w14:paraId="51390005" w14:textId="2DECDC3F" w:rsidR="008A6743" w:rsidRDefault="006E080A" w:rsidP="009972A0">
      <w:pPr>
        <w:rPr>
          <w:color w:val="000000" w:themeColor="text1"/>
        </w:rPr>
      </w:pPr>
      <w:r>
        <w:t>In the introduction</w:t>
      </w:r>
      <w:r>
        <w:t xml:space="preserve"> we identified three predicted trade-offs. The first two trade-offs describe how a fixed pool of energy, relative to plant size, can be divided into many small units or proportionally fewer large units. Abundant theoretical and empirical evidence underpins the seed size-seed number trade-off 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 </w:t>
      </w:r>
      <w:r w:rsidR="004E2575">
        <w:t>Endless floral forms exist among plant species and a</w:t>
      </w:r>
      <w:r w:rsidR="008E4F7F">
        <w:t>cross angiosperms families, plants have also adjusted</w:t>
      </w:r>
      <w:r w:rsidR="009434CD">
        <w:t xml:space="preserve"> their per-ovule floral construction costs by increasing the count of ovules in each flower.</w:t>
      </w:r>
      <w:r w:rsidR="008E4F7F">
        <w:t xml:space="preserve"> The second trade-off is between seed count and total reproductive costs: plants, relative to their size, have a fixed pool of energy for reproduction and can invest it in more seeds </w:t>
      </w:r>
      <w:r w:rsidR="004E2575">
        <w:t xml:space="preserve">that cost less to reproduce </w:t>
      </w:r>
      <w:r w:rsidR="008E4F7F">
        <w:t>or fewer seeds</w:t>
      </w:r>
      <w:r w:rsidR="004E2575">
        <w:t xml:space="preserve"> with greater per-seed construction costs, including all accessory costs</w:t>
      </w:r>
      <w:r w:rsidR="008E4F7F">
        <w:t>.</w:t>
      </w:r>
      <w:r w:rsidR="008A6743">
        <w:t xml:space="preserve"> </w:t>
      </w:r>
      <w:r w:rsidR="004E2575">
        <w:t xml:space="preserve">This is </w:t>
      </w:r>
      <w:r w:rsidR="009972A0">
        <w:t xml:space="preserve">closely related to the </w:t>
      </w:r>
      <w:r w:rsidR="008E4F7F">
        <w:t xml:space="preserve">well-established seed size-seed count trade-off and taken 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9972A0" w:rsidRPr="00287E7D">
        <w:rPr>
          <w:rFonts w:cs="Times New Roman"/>
          <w:color w:val="000000" w:themeColor="text1"/>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77777777" w:rsidR="008A6743" w:rsidRPr="00287E7D" w:rsidRDefault="008A6743" w:rsidP="008A6743">
      <w:pPr>
        <w:rPr>
          <w:color w:val="000000" w:themeColor="text1"/>
        </w:rPr>
      </w:pPr>
      <w:r>
        <w:t xml:space="preserve">The third trade-off is between choosiness (inverse of seedset) and the relative cost of producing a single ovule to the point of pollination: species for whom producing an ovule is less costly have </w:t>
      </w:r>
      <w:r>
        <w:lastRenderedPageBreak/>
        <w:t xml:space="preserve">lower seedset.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287E7D">
        <w:rPr>
          <w:rFonts w:cs="Times New Roman"/>
          <w:color w:val="000000" w:themeColor="text1"/>
        </w:rPr>
        <w:t xml:space="preserve">(Haig &amp; Westoby 1988; Schreiber </w:t>
      </w:r>
      <w:r w:rsidRPr="00287E7D">
        <w:rPr>
          <w:rFonts w:cs="Times New Roman"/>
          <w:i/>
          <w:iCs/>
          <w:color w:val="000000" w:themeColor="text1"/>
        </w:rPr>
        <w:t>et al.</w:t>
      </w:r>
      <w:r w:rsidRPr="00287E7D">
        <w:rPr>
          <w:rFonts w:cs="Times New Roman"/>
          <w:color w:val="000000" w:themeColor="text1"/>
        </w:rPr>
        <w:t xml:space="preserve"> 2015; Rosenheim </w:t>
      </w:r>
      <w:r w:rsidRPr="00287E7D">
        <w:rPr>
          <w:rFonts w:cs="Times New Roman"/>
          <w:i/>
          <w:iCs/>
          <w:color w:val="000000" w:themeColor="text1"/>
        </w:rPr>
        <w:t>et al.</w:t>
      </w:r>
      <w:r w:rsidRPr="00287E7D">
        <w:rPr>
          <w:rFonts w:cs="Times New Roman"/>
          <w:color w:val="000000" w:themeColor="text1"/>
        </w:rPr>
        <w:t xml:space="preserve"> 2015)</w:t>
      </w:r>
      <w:r w:rsidRPr="00287E7D">
        <w:rPr>
          <w:color w:val="000000" w:themeColor="text1"/>
        </w:rPr>
        <w:fldChar w:fldCharType="end"/>
      </w:r>
      <w:r w:rsidRPr="00287E7D">
        <w:rPr>
          <w:color w:val="000000" w:themeColor="text1"/>
        </w:rPr>
        <w:t xml:space="preserve">. </w:t>
      </w:r>
      <w:r w:rsidRPr="00287E7D">
        <w:rPr>
          <w:color w:val="000000" w:themeColor="text1"/>
        </w:rPr>
        <w:t xml:space="preserve">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287E7D">
        <w:rPr>
          <w:rFonts w:cs="Times New Roman"/>
          <w:color w:val="000000" w:themeColor="text1"/>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287E7D">
        <w:rPr>
          <w:rFonts w:cs="Times New Roman"/>
          <w:color w:val="000000" w:themeColor="text1"/>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287E7D">
        <w:rPr>
          <w:rFonts w:cs="Times New Roman"/>
          <w:color w:val="000000" w:themeColor="text1"/>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287E7D">
        <w:rPr>
          <w:color w:val="000000" w:themeColor="text1"/>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287E7D">
        <w:rPr>
          <w:rFonts w:cs="Times New Roman"/>
          <w:color w:val="000000" w:themeColor="text1"/>
        </w:rPr>
        <w:t>(Willson &amp; Burley 1983; Sutherland 1986; Guittian 1993)</w:t>
      </w:r>
      <w:r w:rsidRPr="00287E7D">
        <w:rPr>
          <w:color w:val="000000" w:themeColor="text1"/>
        </w:rPr>
        <w:fldChar w:fldCharType="end"/>
      </w:r>
      <w:r w:rsidRPr="00287E7D">
        <w:rPr>
          <w:color w:val="000000" w:themeColor="text1"/>
        </w:rPr>
        <w:t xml:space="preserve">. </w:t>
      </w:r>
    </w:p>
    <w:p w14:paraId="75E5D376" w14:textId="77777777" w:rsidR="00EC1C02" w:rsidRDefault="0032137C" w:rsidP="00EC1C02">
      <w:r>
        <w:t xml:space="preserve">Linking together the expected outcomes of these trade-offs, we predict that large seeded species are parental optimists, displaying low seedset (high choosiness) because they produce an overabundance of inexpensive ovules, but then are highly selective about which ovules to provision, because they have high seed masses and relatively high provisioning costs. This led up to hypothesize specific shifts in relative energy allocation with seed size, two of which were strongly borne out by the data. In particular, with increasing seed size, there was an increase in the proportion of energy allocated to successful pollen-attraction tissues versus successful provisioning tissues, reflecting the parental optimist-parental pessimist spectrum. Second, because larger-seeded species discard an increasing proportion of their ovules, discarded pollen-attraction tissues become an increasing proportion of all pollen-attraction tissues with increasing seed size. This pattern was also strongly observed in the data. The third prediction was that parental optimists, once they opted to provision a zygote, would be more likely to continue provisioning it through to a mature seed, because of the strong embryo selection near the time of pollination and the high provisioning costs. </w:t>
      </w:r>
      <w:r>
        <w:lastRenderedPageBreak/>
        <w:t>There was only a weak trend in this direction</w:t>
      </w:r>
      <w:r w:rsidR="00EC1C02">
        <w:t xml:space="preserve">, in part reflecting the overall high success rate of embryos once post-pollination provisioning commenced. </w:t>
      </w:r>
    </w:p>
    <w:p w14:paraId="6141A0CE" w14:textId="0765E16F" w:rsidR="00EC1C02" w:rsidRDefault="00EC1C02" w:rsidP="00BA26EC">
      <w:pPr>
        <w:rPr>
          <w:color w:val="000000" w:themeColor="text1"/>
        </w:rPr>
      </w:pPr>
      <w:r>
        <w:br/>
      </w:r>
      <w:r w:rsidRPr="00EC1C02">
        <w:rPr>
          <w:rStyle w:val="Heading2Char"/>
        </w:rPr>
        <w:t>Scaling</w:t>
      </w:r>
      <w:r w:rsidRPr="00EC1C02">
        <w:rPr>
          <w:rStyle w:val="Heading2Char"/>
        </w:rPr>
        <w:t xml:space="preserve"> of reproductive costs with seed size</w:t>
      </w:r>
      <w:r w:rsidR="00AA3DEB">
        <w:br/>
      </w:r>
      <w:r w:rsidR="00D53849" w:rsidRPr="009972A0">
        <w:rPr>
          <w:color w:val="000000" w:themeColor="text1"/>
        </w:rPr>
        <w:t>Previous studies have found an isometric increase in total reproductive costs and accessory costs with increasing seed size</w:t>
      </w:r>
      <w:r w:rsidR="006C04C5" w:rsidRPr="009972A0">
        <w:rPr>
          <w:color w:val="000000" w:themeColor="text1"/>
        </w:rPr>
        <w:t xml:space="preserve"> </w:t>
      </w:r>
      <w:r w:rsidR="006C04C5" w:rsidRPr="009972A0">
        <w:rPr>
          <w:color w:val="000000" w:themeColor="text1"/>
        </w:rPr>
        <w:fldChar w:fldCharType="begin"/>
      </w:r>
      <w:r w:rsidR="006C04C5" w:rsidRPr="009972A0">
        <w:rPr>
          <w:color w:val="000000" w:themeColor="text1"/>
        </w:rP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C04C5" w:rsidRPr="009972A0">
        <w:rPr>
          <w:rFonts w:ascii="Cambria Math" w:hAnsi="Cambria Math" w:cs="Cambria Math"/>
          <w:color w:val="000000" w:themeColor="text1"/>
        </w:rPr>
        <w:instrText>⬚</w:instrText>
      </w:r>
      <w:r w:rsidR="006C04C5" w:rsidRPr="009972A0">
        <w:rPr>
          <w:color w:val="000000" w:themeColor="text1"/>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C04C5" w:rsidRPr="009972A0">
        <w:rPr>
          <w:color w:val="000000" w:themeColor="text1"/>
        </w:rPr>
        <w:fldChar w:fldCharType="separate"/>
      </w:r>
      <w:r w:rsidR="006C04C5" w:rsidRPr="009972A0">
        <w:rPr>
          <w:rFonts w:cs="Times New Roman"/>
          <w:color w:val="000000" w:themeColor="text1"/>
        </w:rPr>
        <w:t xml:space="preserve">(Henery &amp; Westoby 2001; Moles </w:t>
      </w:r>
      <w:r w:rsidR="006C04C5" w:rsidRPr="009972A0">
        <w:rPr>
          <w:rFonts w:cs="Times New Roman"/>
          <w:i/>
          <w:iCs/>
          <w:color w:val="000000" w:themeColor="text1"/>
        </w:rPr>
        <w:t>et al.</w:t>
      </w:r>
      <w:r w:rsidR="006C04C5" w:rsidRPr="009972A0">
        <w:rPr>
          <w:rFonts w:cs="Times New Roman"/>
          <w:color w:val="000000" w:themeColor="text1"/>
        </w:rPr>
        <w:t xml:space="preserve"> 2003; Lord &amp; Westoby 2006, 2012; Chen </w:t>
      </w:r>
      <w:r w:rsidR="006C04C5" w:rsidRPr="009972A0">
        <w:rPr>
          <w:rFonts w:cs="Times New Roman"/>
          <w:i/>
          <w:iCs/>
          <w:color w:val="000000" w:themeColor="text1"/>
        </w:rPr>
        <w:t>et al.</w:t>
      </w:r>
      <w:r w:rsidR="006C04C5" w:rsidRPr="009972A0">
        <w:rPr>
          <w:rFonts w:cs="Times New Roman"/>
          <w:color w:val="000000" w:themeColor="text1"/>
        </w:rPr>
        <w:t xml:space="preserve"> 2010)</w:t>
      </w:r>
      <w:r w:rsidR="006C04C5" w:rsidRPr="009972A0">
        <w:rPr>
          <w:color w:val="000000" w:themeColor="text1"/>
        </w:rPr>
        <w:fldChar w:fldCharType="end"/>
      </w:r>
      <w:r w:rsidR="001E21A9" w:rsidRPr="009972A0">
        <w:rPr>
          <w:color w:val="000000" w:themeColor="text1"/>
        </w:rPr>
        <w:t>,</w:t>
      </w:r>
      <w:r w:rsidR="00D53849" w:rsidRPr="009972A0">
        <w:rPr>
          <w:color w:val="000000" w:themeColor="text1"/>
        </w:rPr>
        <w:t xml:space="preserve"> suggesting that despite the </w:t>
      </w:r>
      <w:r w:rsidR="00CA7FDB" w:rsidRPr="009972A0">
        <w:rPr>
          <w:color w:val="000000" w:themeColor="text1"/>
        </w:rPr>
        <w:t xml:space="preserve">enormous diversity of floral forms and the known adaptive function of many floral parts </w:t>
      </w:r>
      <w:r w:rsidR="00CA7FDB" w:rsidRPr="009972A0">
        <w:rPr>
          <w:color w:val="000000" w:themeColor="text1"/>
        </w:rPr>
        <w:fldChar w:fldCharType="begin"/>
      </w:r>
      <w:r w:rsidR="00CA7FDB"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9972A0">
        <w:rPr>
          <w:color w:val="000000" w:themeColor="text1"/>
        </w:rPr>
        <w:fldChar w:fldCharType="separate"/>
      </w:r>
      <w:r w:rsidR="00CA7FDB" w:rsidRPr="009972A0">
        <w:rPr>
          <w:color w:val="000000" w:themeColor="text1"/>
        </w:rPr>
        <w:t>(Harder &amp; Barrett 2006; Harder &amp; Johnson 2009)</w:t>
      </w:r>
      <w:r w:rsidR="00CA7FDB" w:rsidRPr="009972A0">
        <w:rPr>
          <w:color w:val="000000" w:themeColor="text1"/>
        </w:rPr>
        <w:fldChar w:fldCharType="end"/>
      </w:r>
      <w:r w:rsidR="00CA7FDB" w:rsidRPr="009972A0">
        <w:rPr>
          <w:color w:val="000000" w:themeColor="text1"/>
        </w:rPr>
        <w:t xml:space="preserve">, </w:t>
      </w:r>
      <w:r w:rsidR="00D53849" w:rsidRPr="009972A0">
        <w:rPr>
          <w:color w:val="000000" w:themeColor="text1"/>
        </w:rPr>
        <w:t xml:space="preserve">all seeds sizes are equally costs to produce, in affirmation of theories on optimal energy allocation </w:t>
      </w:r>
      <w:r w:rsidR="00190C8F" w:rsidRPr="009972A0">
        <w:rPr>
          <w:color w:val="000000" w:themeColor="text1"/>
        </w:rPr>
        <w:fldChar w:fldCharType="begin"/>
      </w:r>
      <w:r w:rsidR="00190C8F"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9972A0">
        <w:rPr>
          <w:rFonts w:ascii="Cambria Math" w:hAnsi="Cambria Math" w:cs="Cambria Math"/>
          <w:color w:val="000000" w:themeColor="text1"/>
        </w:rPr>
        <w:instrText>‐</w:instrText>
      </w:r>
      <w:r w:rsidR="00190C8F"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9972A0">
        <w:rPr>
          <w:rFonts w:ascii="Cambria Math" w:hAnsi="Cambria Math" w:cs="Cambria Math"/>
          <w:color w:val="000000" w:themeColor="text1"/>
        </w:rPr>
        <w:instrText>‐</w:instrText>
      </w:r>
      <w:r w:rsidR="00190C8F"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00190C8F" w:rsidRPr="009972A0">
        <w:rPr>
          <w:rFonts w:ascii="Cambria Math" w:hAnsi="Cambria Math" w:cs="Cambria Math"/>
          <w:color w:val="000000" w:themeColor="text1"/>
        </w:rPr>
        <w:instrText>‐</w:instrText>
      </w:r>
      <w:r w:rsidR="00190C8F"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9972A0">
        <w:rPr>
          <w:rFonts w:ascii="Cambria Math" w:hAnsi="Cambria Math" w:cs="Cambria Math"/>
          <w:color w:val="000000" w:themeColor="text1"/>
        </w:rPr>
        <w:instrText>‐</w:instrText>
      </w:r>
      <w:r w:rsidR="00190C8F" w:rsidRPr="009972A0">
        <w:rPr>
          <w:color w:val="000000" w:themeColor="text1"/>
        </w:rPr>
        <w:instrText>offspring harvest cost is smaller. Second, at the optimum, organisms balance multiple fitness</w:instrText>
      </w:r>
      <w:r w:rsidR="00190C8F" w:rsidRPr="009972A0">
        <w:rPr>
          <w:rFonts w:ascii="Cambria Math" w:hAnsi="Cambria Math" w:cs="Cambria Math"/>
          <w:color w:val="000000" w:themeColor="text1"/>
        </w:rPr>
        <w:instrText>‐</w:instrText>
      </w:r>
      <w:r w:rsidR="00190C8F"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9972A0">
        <w:rPr>
          <w:color w:val="000000" w:themeColor="text1"/>
        </w:rPr>
        <w:fldChar w:fldCharType="separate"/>
      </w:r>
      <w:r w:rsidR="00190C8F" w:rsidRPr="009972A0">
        <w:rPr>
          <w:color w:val="000000" w:themeColor="text1"/>
        </w:rPr>
        <w:t xml:space="preserve">(Rosenheim </w:t>
      </w:r>
      <w:r w:rsidR="00190C8F" w:rsidRPr="009972A0">
        <w:rPr>
          <w:i/>
          <w:iCs/>
          <w:color w:val="000000" w:themeColor="text1"/>
        </w:rPr>
        <w:t>et al.</w:t>
      </w:r>
      <w:r w:rsidR="00190C8F" w:rsidRPr="009972A0">
        <w:rPr>
          <w:color w:val="000000" w:themeColor="text1"/>
        </w:rPr>
        <w:t xml:space="preserve"> 2010; Mironchenko &amp; Kozłowski 2014)</w:t>
      </w:r>
      <w:r w:rsidR="00190C8F" w:rsidRPr="009972A0">
        <w:rPr>
          <w:color w:val="000000" w:themeColor="text1"/>
        </w:rPr>
        <w:fldChar w:fldCharType="end"/>
      </w:r>
      <w:r w:rsidR="00190C8F" w:rsidRPr="009972A0">
        <w:rPr>
          <w:color w:val="000000" w:themeColor="text1"/>
        </w:rPr>
        <w:t>.</w:t>
      </w:r>
      <w:r w:rsidR="001E7EDB" w:rsidRPr="009972A0">
        <w:rPr>
          <w:color w:val="000000" w:themeColor="text1"/>
        </w:rPr>
        <w:t xml:space="preserve"> </w:t>
      </w:r>
      <w:r w:rsidR="00D53849" w:rsidRPr="009972A0">
        <w:rPr>
          <w:color w:val="000000" w:themeColor="text1"/>
        </w:rPr>
        <w:t>In this study, total reproductive costs and accessory costs both showed a steeper than isometric increase with seed size</w:t>
      </w:r>
      <w:r w:rsidR="008A6743">
        <w:rPr>
          <w:color w:val="000000" w:themeColor="text1"/>
        </w:rPr>
        <w:t xml:space="preserve"> (Table 2)</w:t>
      </w:r>
      <w:r w:rsidR="00D53849" w:rsidRPr="009972A0">
        <w:rPr>
          <w:color w:val="000000" w:themeColor="text1"/>
        </w:rPr>
        <w:t>, indicating proportion of reproductive energy invested in accessory tissues is higher in larger-seeded species. This suggests there are additional benefits to being large-seeded that have not been explored in this study, such as higher seedling germination and success.</w:t>
      </w:r>
      <w:r w:rsidR="008A6743">
        <w:rPr>
          <w:color w:val="000000" w:themeColor="text1"/>
        </w:rPr>
        <w:t xml:space="preserve"> </w:t>
      </w:r>
    </w:p>
    <w:p w14:paraId="50D3BB6D" w14:textId="250029AC" w:rsidR="00BA26EC" w:rsidRPr="008A6743" w:rsidRDefault="00EC1C02" w:rsidP="00BA26EC">
      <w:pPr>
        <w:rPr>
          <w:color w:val="000000" w:themeColor="text1"/>
        </w:rPr>
      </w:pPr>
      <w:r>
        <w:rPr>
          <w:color w:val="000000" w:themeColor="text1"/>
        </w:rPr>
        <w:t xml:space="preserve">The changes in the proportion of energy going to successful pollen-attraction versus successful provisioning tissues with seed size (Figure 2c), did lead a less than isometric increase in pollen-attraction costs with seed size and greater than isometric increase in provisioning costs with seed size, as has been previously observed (Lord &amp; Westoby 2006, 2012). This is in part because </w:t>
      </w:r>
      <w:r w:rsidR="00BA26EC" w:rsidRPr="008A6743">
        <w:rPr>
          <w:color w:val="000000" w:themeColor="text1"/>
        </w:rPr>
        <w:t xml:space="preserve">larger seeds tend to have biotic dispersal agents, and animal-dispersed species allocate a greater proportion of their reproductive energy to packaging and dispersal materials </w:t>
      </w:r>
      <w:r w:rsidR="00BA26EC" w:rsidRPr="008A6743">
        <w:rPr>
          <w:color w:val="000000" w:themeColor="text1"/>
        </w:rPr>
        <w:fldChar w:fldCharType="begin"/>
      </w:r>
      <w:r w:rsidR="00BA26EC" w:rsidRPr="008A6743">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8A6743">
        <w:rPr>
          <w:rFonts w:ascii="Cambria Math" w:hAnsi="Cambria Math" w:cs="Cambria Math"/>
          <w:color w:val="000000" w:themeColor="text1"/>
        </w:rPr>
        <w:instrText>‐</w:instrText>
      </w:r>
      <w:r w:rsidR="00BA26EC" w:rsidRPr="008A6743">
        <w:rPr>
          <w:color w:val="000000" w:themeColor="text1"/>
        </w:rPr>
        <w:instrText>form hypothesis, which suggests that large seeds and biotic dispersal evolved as coadapted traits along with evolution of large plant life</w:instrText>
      </w:r>
      <w:r w:rsidR="00BA26EC" w:rsidRPr="008A6743">
        <w:rPr>
          <w:rFonts w:ascii="Cambria Math" w:hAnsi="Cambria Math" w:cs="Cambria Math"/>
          <w:color w:val="000000" w:themeColor="text1"/>
        </w:rPr>
        <w:instrText>‐</w:instrText>
      </w:r>
      <w:r w:rsidR="00BA26EC" w:rsidRPr="008A6743">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BA26EC" w:rsidRPr="008A6743">
        <w:rPr>
          <w:rFonts w:ascii="Cambria Math" w:hAnsi="Cambria Math" w:cs="Cambria Math"/>
          <w:color w:val="000000" w:themeColor="text1"/>
        </w:rPr>
        <w:instrText>‐</w:instrText>
      </w:r>
      <w:r w:rsidR="00BA26EC" w:rsidRPr="008A6743">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8A6743">
        <w:rPr>
          <w:color w:val="000000" w:themeColor="text1"/>
        </w:rPr>
        <w:fldChar w:fldCharType="separate"/>
      </w:r>
      <w:r w:rsidR="00BA26EC" w:rsidRPr="008A6743">
        <w:rPr>
          <w:color w:val="000000" w:themeColor="text1"/>
        </w:rPr>
        <w:t xml:space="preserve">(Hughes </w:t>
      </w:r>
      <w:r w:rsidR="00BA26EC" w:rsidRPr="008A6743">
        <w:rPr>
          <w:i/>
          <w:iCs/>
          <w:color w:val="000000" w:themeColor="text1"/>
        </w:rPr>
        <w:t>et al.</w:t>
      </w:r>
      <w:r w:rsidR="00BA26EC" w:rsidRPr="008A6743">
        <w:rPr>
          <w:color w:val="000000" w:themeColor="text1"/>
        </w:rPr>
        <w:t xml:space="preserve"> 1994; Moles </w:t>
      </w:r>
      <w:r w:rsidR="00BA26EC" w:rsidRPr="008A6743">
        <w:rPr>
          <w:i/>
          <w:iCs/>
          <w:color w:val="000000" w:themeColor="text1"/>
        </w:rPr>
        <w:t>et al.</w:t>
      </w:r>
      <w:r w:rsidR="00BA26EC" w:rsidRPr="008A6743">
        <w:rPr>
          <w:color w:val="000000" w:themeColor="text1"/>
        </w:rPr>
        <w:t xml:space="preserve"> 2005; Eriksson 2008)</w:t>
      </w:r>
      <w:r w:rsidR="00BA26EC" w:rsidRPr="008A6743">
        <w:rPr>
          <w:color w:val="000000" w:themeColor="text1"/>
        </w:rPr>
        <w:fldChar w:fldCharType="end"/>
      </w:r>
      <w:r w:rsidR="00BA26EC" w:rsidRPr="008A6743">
        <w:rPr>
          <w:color w:val="000000" w:themeColor="text1"/>
        </w:rPr>
        <w:t xml:space="preserve">. </w:t>
      </w:r>
    </w:p>
    <w:p w14:paraId="49C3D602" w14:textId="77777777" w:rsidR="003A0B41" w:rsidRDefault="003A0B41" w:rsidP="003C3342">
      <w:pPr>
        <w:pStyle w:val="Heading2"/>
      </w:pPr>
      <w:r w:rsidRPr="003C3342">
        <w:t>Shifts in accessory costs with plant size and age</w:t>
      </w:r>
    </w:p>
    <w:p w14:paraId="54FBFF62" w14:textId="152CF855"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w:t>
      </w:r>
      <w:r w:rsidR="003A0B41" w:rsidRPr="003C3342">
        <w:lastRenderedPageBreak/>
        <w:t xml:space="preserve">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w:t>
      </w:r>
      <w:r w:rsidR="00BF1046" w:rsidRPr="003C3342">
        <w:lastRenderedPageBreak/>
        <w:t xml:space="preserve">for many research projects and pointing researchers to the best rapidly-obtainable estimates of total </w:t>
      </w:r>
      <w:r w:rsidR="00DD6AD7">
        <w:t xml:space="preserve">RE </w:t>
      </w:r>
      <w:r w:rsidR="00BF1046" w:rsidRPr="003C3342">
        <w:t xml:space="preserve">would be beneficial to many. </w:t>
      </w:r>
    </w:p>
    <w:p w14:paraId="5CB1F83C" w14:textId="6C63FA14"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32B48EBA" w:rsidR="00E76AB7" w:rsidRPr="003C3342" w:rsidRDefault="00BF1046" w:rsidP="00D46295">
      <w:commentRangeStart w:id="6"/>
      <w:r>
        <w:t>At</w:t>
      </w:r>
      <w:commentRangeEnd w:id="6"/>
      <w:r w:rsidR="00B5625C">
        <w:rPr>
          <w:rStyle w:val="CommentReference"/>
        </w:rPr>
        <w:commentReference w:id="6"/>
      </w:r>
      <w:r>
        <w:t xml:space="preserve"> the individual level, </w:t>
      </w:r>
      <w:r w:rsidR="00B7720E">
        <w:t xml:space="preserve">embryo and endosperm investment, </w:t>
      </w:r>
      <w:r w:rsidR="000A1AA2">
        <w:t xml:space="preserve">propagule </w:t>
      </w:r>
      <w:r w:rsidRPr="003C3342">
        <w:t>investment</w:t>
      </w:r>
      <w:r w:rsidR="00B7720E">
        <w:t xml:space="preserve">, </w:t>
      </w:r>
      <w:r>
        <w:t xml:space="preserve">and fruit </w:t>
      </w:r>
      <w:proofErr w:type="gramStart"/>
      <w:r>
        <w:t xml:space="preserve">investment </w:t>
      </w:r>
      <w:r w:rsidR="003E5AEA">
        <w:t xml:space="preserve"> </w:t>
      </w:r>
      <w:r>
        <w:t>were</w:t>
      </w:r>
      <w:proofErr w:type="gramEnd"/>
      <w:r>
        <w:t xml:space="preserv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7720E" w:rsidRPr="003C3342">
        <w:t>r</w:t>
      </w:r>
      <w:r w:rsidR="00B7720E" w:rsidRPr="003C3342">
        <w:rPr>
          <w:vertAlign w:val="superscript"/>
        </w:rPr>
        <w:t>2</w:t>
      </w:r>
      <w:r w:rsidR="00B7720E" w:rsidRPr="003C3342">
        <w:t>=</w:t>
      </w:r>
      <w:r w:rsidR="00B7720E">
        <w:t>0.66,</w:t>
      </w:r>
      <w:r w:rsidR="00B7720E">
        <w:t xml:space="preserve"> </w:t>
      </w:r>
      <w:r w:rsidR="00B5625C" w:rsidRPr="003C3342">
        <w:t>r</w:t>
      </w:r>
      <w:r w:rsidR="00B5625C" w:rsidRPr="003C3342">
        <w:rPr>
          <w:vertAlign w:val="superscript"/>
        </w:rPr>
        <w:t>2</w:t>
      </w:r>
      <w:r w:rsidR="00B5625C" w:rsidRPr="003C3342">
        <w:t>=</w:t>
      </w:r>
      <w:r w:rsidR="00B5625C">
        <w:t>0.5</w:t>
      </w:r>
      <w:r w:rsidR="00B7720E">
        <w:t>3</w:t>
      </w:r>
      <w:r w:rsidR="00B5625C">
        <w:t xml:space="preserve"> and </w:t>
      </w:r>
      <w:r w:rsidR="00B5625C" w:rsidRPr="003C3342">
        <w:t>r</w:t>
      </w:r>
      <w:r w:rsidR="00B5625C" w:rsidRPr="003C3342">
        <w:rPr>
          <w:vertAlign w:val="superscript"/>
        </w:rPr>
        <w:t>2</w:t>
      </w:r>
      <w:r w:rsidR="00B5625C" w:rsidRPr="003C3342">
        <w:t>=</w:t>
      </w:r>
      <w:r w:rsidR="00B5625C">
        <w:t>0.</w:t>
      </w:r>
      <w:r w:rsidR="00B7720E">
        <w:t>68</w:t>
      </w:r>
      <w:r w:rsidR="00B5625C">
        <w:t>,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6</w:t>
      </w:r>
      <w:r w:rsidR="00DB7445">
        <w:t xml:space="preserve">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2</w:t>
      </w:r>
      <w:r w:rsidR="00DB7445">
        <w:t xml:space="preserve">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E4A820" w:rsidR="00277B98" w:rsidRPr="003C3342" w:rsidRDefault="00FD6434" w:rsidP="007444C4">
      <w:r w:rsidRPr="003C3342">
        <w:lastRenderedPageBreak/>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7E6B62C0" w14:textId="7E468BD5"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good,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w:t>
      </w:r>
    </w:p>
    <w:p w14:paraId="3423116E" w14:textId="78B86CE9" w:rsidR="00E573B8" w:rsidRDefault="006A57AA" w:rsidP="007444C4">
      <w:r w:rsidRPr="003C3342">
        <w:t xml:space="preserve">These seemingly large energy expenditures, segue to our next consideration: </w:t>
      </w:r>
      <w:r w:rsidR="001E1144" w:rsidRPr="003C3342">
        <w:t>I</w:t>
      </w:r>
      <w:r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w:t>
      </w:r>
      <w:r w:rsidR="001E1144" w:rsidRPr="003C3342">
        <w:lastRenderedPageBreak/>
        <w:t xml:space="preserve">less “costly” to produce copious quantities of nectar, for carbon is not limiting. This is a direction for future investigations. </w:t>
      </w:r>
      <w:r w:rsidRPr="003C3342">
        <w:t xml:space="preserve">A final consideration, is how to choose which tissues to include as “reproductive tissues”, since some green reproductive tissues are known to photosynthesize </w:t>
      </w:r>
      <w:r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Pr="003C3342">
        <w:fldChar w:fldCharType="separate"/>
      </w:r>
      <w:r w:rsidR="007C79BA" w:rsidRPr="007444C4">
        <w:t>(Cohen 1976; Reekie &amp; Bazzaz 1987a; Wesselingh 2007)</w:t>
      </w:r>
      <w:r w:rsidRPr="003C3342">
        <w:fldChar w:fldCharType="end"/>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77777777" w:rsidR="008A6743" w:rsidRPr="008A6743" w:rsidRDefault="008A6743" w:rsidP="008A6743">
      <w:pPr>
        <w:rPr>
          <w:color w:val="000000" w:themeColor="text1"/>
        </w:rPr>
      </w:pPr>
      <w:r w:rsidRPr="008A6743">
        <w:rPr>
          <w:color w:val="000000" w:themeColor="text1"/>
        </w:rPr>
        <w:t xml:space="preserve">Not addressed by this dataset, are other known factors that undoubtedly also contribute to low seedset in this system, including pollen-limitation </w:t>
      </w:r>
      <w:r w:rsidRPr="008A6743">
        <w:rPr>
          <w:color w:val="000000" w:themeColor="text1"/>
        </w:rPr>
        <w:fldChar w:fldCharType="begin"/>
      </w:r>
      <w:r w:rsidRPr="008A6743">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Pr="008A6743">
        <w:rPr>
          <w:rFonts w:ascii="Cambria Math" w:hAnsi="Cambria Math" w:cs="Cambria Math"/>
          <w:color w:val="000000" w:themeColor="text1"/>
        </w:rPr>
        <w:instrText>‐</w:instrText>
      </w:r>
      <w:r w:rsidRPr="008A6743">
        <w:rPr>
          <w:color w:val="000000" w:themeColor="text1"/>
        </w:rPr>
        <w:instrText>Westoby model revisited.","container-title":"The American Naturalist","page":"400-404","volume":"171","issue":"3","source":"JSTOR","abstract":"Abstract: The Haig</w:instrText>
      </w:r>
      <w:r w:rsidRPr="008A6743">
        <w:rPr>
          <w:rFonts w:ascii="Cambria Math" w:hAnsi="Cambria Math" w:cs="Cambria Math"/>
          <w:color w:val="000000" w:themeColor="text1"/>
        </w:rPr>
        <w:instrText>‐</w:instrText>
      </w:r>
      <w:r w:rsidRPr="008A6743">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8A6743">
        <w:rPr>
          <w:rFonts w:ascii="Cambria Math" w:hAnsi="Cambria Math" w:cs="Cambria Math"/>
          <w:color w:val="000000" w:themeColor="text1"/>
        </w:rPr>
        <w:instrText>‐</w:instrText>
      </w:r>
      <w:r w:rsidRPr="008A6743">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8A6743">
        <w:rPr>
          <w:rFonts w:ascii="Cambria Math" w:hAnsi="Cambria Math" w:cs="Cambria Math"/>
          <w:color w:val="000000" w:themeColor="text1"/>
        </w:rPr>
        <w:instrText>‐</w:instrText>
      </w:r>
      <w:r w:rsidRPr="008A6743">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8A6743">
        <w:rPr>
          <w:rFonts w:ascii="Cambria Math" w:hAnsi="Cambria Math" w:cs="Cambria Math"/>
          <w:color w:val="000000" w:themeColor="text1"/>
        </w:rPr>
        <w:instrText>‐</w:instrText>
      </w:r>
      <w:r w:rsidRPr="008A6743">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rsidRPr="008A6743">
        <w:rPr>
          <w:color w:val="000000" w:themeColor="text1"/>
        </w:rPr>
        <w:fldChar w:fldCharType="separate"/>
      </w:r>
      <w:r w:rsidRPr="008A6743">
        <w:rPr>
          <w:rFonts w:cs="Times New Roman"/>
          <w:color w:val="000000" w:themeColor="text1"/>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Pr="008A6743">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8A6743">
        <w:rPr>
          <w:color w:val="000000" w:themeColor="text1"/>
        </w:rPr>
        <w:fldChar w:fldCharType="separate"/>
      </w:r>
      <w:r w:rsidRPr="008A6743">
        <w:rPr>
          <w:rFonts w:cs="Times New Roman"/>
          <w:color w:val="000000" w:themeColor="text1"/>
        </w:rPr>
        <w:t xml:space="preserve">(Rosenheim </w:t>
      </w:r>
      <w:r w:rsidRPr="008A6743">
        <w:rPr>
          <w:rFonts w:cs="Times New Roman"/>
          <w:i/>
          <w:iCs/>
          <w:color w:val="000000" w:themeColor="text1"/>
        </w:rPr>
        <w:t>et al.</w:t>
      </w:r>
      <w:r w:rsidRPr="008A6743">
        <w:rPr>
          <w:rFonts w:cs="Times New Roman"/>
          <w:color w:val="000000" w:themeColor="text1"/>
        </w:rPr>
        <w:t xml:space="preserve"> 2014, 2016)</w:t>
      </w:r>
      <w:r w:rsidRPr="008A6743">
        <w:rPr>
          <w:color w:val="000000" w:themeColor="text1"/>
        </w:rPr>
        <w:fldChar w:fldCharType="end"/>
      </w:r>
      <w:r w:rsidRPr="008A6743">
        <w:rPr>
          <w:color w:val="000000" w:themeColor="text1"/>
        </w:rPr>
        <w:t xml:space="preserve">, it is unlikely the observed trend of lower seedset among the parental-optimists is primarily attributable to pollen-limitation. Environmental stochasticity, both in terms of pollen receipt and resources to provision embryos, also select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8A6743">
        <w:rPr>
          <w:rFonts w:cs="Times New Roman"/>
          <w:color w:val="000000" w:themeColor="text1"/>
        </w:rPr>
        <w:t xml:space="preserve">(Haig &amp; Westoby 1988; Rosenheim </w:t>
      </w:r>
      <w:r w:rsidRPr="008A6743">
        <w:rPr>
          <w:rFonts w:cs="Times New Roman"/>
          <w:i/>
          <w:iCs/>
          <w:color w:val="000000" w:themeColor="text1"/>
        </w:rPr>
        <w:t>et al.</w:t>
      </w:r>
      <w:r w:rsidRPr="008A6743">
        <w:rPr>
          <w:rFonts w:cs="Times New Roman"/>
          <w:color w:val="000000" w:themeColor="text1"/>
        </w:rPr>
        <w:t xml:space="preserve"> 2014)</w:t>
      </w:r>
      <w:r w:rsidRPr="008A6743">
        <w:rPr>
          <w:color w:val="000000" w:themeColor="text1"/>
        </w:rPr>
        <w:fldChar w:fldCharType="end"/>
      </w:r>
      <w:r w:rsidRPr="008A6743">
        <w:rPr>
          <w:color w:val="000000" w:themeColor="text1"/>
        </w:rPr>
        <w:t xml:space="preserve">. Indeed the tendency towards over- (or under-) production of ovules among parental optimists (or pessimists) will be exacerbated by environmental stochasticity, because plants will invest more heavily in the cheaper of the tissue categories </w:t>
      </w:r>
      <w:r w:rsidRPr="008A6743">
        <w:rPr>
          <w:color w:val="000000" w:themeColor="text1"/>
        </w:rPr>
        <w:fldChar w:fldCharType="begin"/>
      </w:r>
      <w:r w:rsidRPr="008A6743">
        <w:rPr>
          <w:color w:val="000000" w:themeColor="text1"/>
        </w:rPr>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8A6743">
        <w:rPr>
          <w:rFonts w:ascii="Cambria Math" w:hAnsi="Cambria Math" w:cs="Cambria Math"/>
          <w:color w:val="000000" w:themeColor="text1"/>
        </w:rPr>
        <w:instrText>‐</w:instrText>
      </w:r>
      <w:r w:rsidRPr="008A6743">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8A6743">
        <w:rPr>
          <w:rFonts w:ascii="Cambria Math" w:hAnsi="Cambria Math" w:cs="Cambria Math"/>
          <w:color w:val="000000" w:themeColor="text1"/>
        </w:rPr>
        <w:instrText>‐</w:instrText>
      </w:r>
      <w:r w:rsidRPr="008A6743">
        <w:rPr>
          <w:color w:val="000000" w:themeColor="text1"/>
        </w:rPr>
        <w:instrText>factors problems involving essential resources or essential components of reproductive effort can be analyzed with an evolutionary application of Liebig’s law of the minimum. We explore life</w:instrText>
      </w:r>
      <w:r w:rsidRPr="008A6743">
        <w:rPr>
          <w:rFonts w:ascii="Cambria Math" w:hAnsi="Cambria Math" w:cs="Cambria Math"/>
          <w:color w:val="000000" w:themeColor="text1"/>
        </w:rPr>
        <w:instrText>‐</w:instrText>
      </w:r>
      <w:r w:rsidRPr="008A6743">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8A6743">
        <w:rPr>
          <w:rFonts w:ascii="Cambria Math" w:hAnsi="Cambria Math" w:cs="Cambria Math"/>
          <w:color w:val="000000" w:themeColor="text1"/>
        </w:rPr>
        <w:instrText>‐</w:instrText>
      </w:r>
      <w:r w:rsidRPr="008A6743">
        <w:rPr>
          <w:color w:val="000000" w:themeColor="text1"/>
        </w:rPr>
        <w:instrText>offspring harvest cost is smaller. Second, at the optimum, organisms balance multiple fitness</w:instrText>
      </w:r>
      <w:r w:rsidRPr="008A6743">
        <w:rPr>
          <w:rFonts w:ascii="Cambria Math" w:hAnsi="Cambria Math" w:cs="Cambria Math"/>
          <w:color w:val="000000" w:themeColor="text1"/>
        </w:rPr>
        <w:instrText>‐</w:instrText>
      </w:r>
      <w:r w:rsidRPr="008A6743">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8A6743">
        <w:rPr>
          <w:color w:val="000000" w:themeColor="text1"/>
        </w:rPr>
        <w:t xml:space="preserve">(Rosenheim </w:t>
      </w:r>
      <w:r w:rsidRPr="008A6743">
        <w:rPr>
          <w:i/>
          <w:iCs/>
          <w:color w:val="000000" w:themeColor="text1"/>
        </w:rPr>
        <w:t>et al.</w:t>
      </w:r>
      <w:r w:rsidRPr="008A6743">
        <w:rPr>
          <w:color w:val="000000" w:themeColor="text1"/>
        </w:rPr>
        <w:t xml:space="preserve"> 2010, 2014)</w:t>
      </w:r>
      <w:r w:rsidRPr="008A6743">
        <w:rPr>
          <w:color w:val="000000" w:themeColor="text1"/>
        </w:rPr>
        <w:fldChar w:fldCharType="end"/>
      </w:r>
      <w:r w:rsidRPr="008A6743">
        <w:rPr>
          <w:color w:val="000000" w:themeColor="text1"/>
        </w:rPr>
        <w:t xml:space="preserve">. Indeed, it is from the environmental stochasticity in resource supply that “parental optimists” have their name: They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Pr="008A6743">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8A6743">
        <w:rPr>
          <w:rFonts w:cs="Times New Roman"/>
          <w:color w:val="000000" w:themeColor="text1"/>
        </w:rPr>
        <w:t xml:space="preserve">(Mock &amp; Forbes 1995; Burd </w:t>
      </w:r>
      <w:r w:rsidRPr="008A6743">
        <w:rPr>
          <w:rFonts w:cs="Times New Roman"/>
          <w:i/>
          <w:iCs/>
          <w:color w:val="000000" w:themeColor="text1"/>
        </w:rPr>
        <w:t>et al.</w:t>
      </w:r>
      <w:r w:rsidRPr="008A6743">
        <w:rPr>
          <w:rFonts w:cs="Times New Roman"/>
          <w:color w:val="000000" w:themeColor="text1"/>
        </w:rPr>
        <w:t xml:space="preserve"> 2009; Schreiber </w:t>
      </w:r>
      <w:r w:rsidRPr="008A6743">
        <w:rPr>
          <w:rFonts w:cs="Times New Roman"/>
          <w:i/>
          <w:iCs/>
          <w:color w:val="000000" w:themeColor="text1"/>
        </w:rPr>
        <w:t>et al.</w:t>
      </w:r>
      <w:r w:rsidRPr="008A6743">
        <w:rPr>
          <w:rFonts w:cs="Times New Roman"/>
          <w:color w:val="000000" w:themeColor="text1"/>
        </w:rPr>
        <w:t xml:space="preserve"> 2015; Rosenheim </w:t>
      </w:r>
      <w:r w:rsidRPr="008A6743">
        <w:rPr>
          <w:rFonts w:cs="Times New Roman"/>
          <w:i/>
          <w:iCs/>
          <w:color w:val="000000" w:themeColor="text1"/>
        </w:rPr>
        <w:t>et al.</w:t>
      </w:r>
      <w:r w:rsidRPr="008A6743">
        <w:rPr>
          <w:rFonts w:cs="Times New Roman"/>
          <w:color w:val="000000" w:themeColor="text1"/>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435E10F1" w:rsidR="001E1144" w:rsidRDefault="00926CD4" w:rsidP="003C3342">
      <w:r w:rsidRPr="003C3342">
        <w:lastRenderedPageBreak/>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2EBF7019"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w:t>
      </w:r>
      <w:r w:rsidR="00606711">
        <w:t xml:space="preserve">RE pools </w:t>
      </w:r>
      <w:r w:rsidRPr="003C3342">
        <w:t xml:space="preserve">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w:t>
      </w:r>
      <w:r w:rsidR="00AC6375">
        <w:lastRenderedPageBreak/>
        <w:t xml:space="preserve">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pPr>
      <w:r>
        <w:fldChar w:fldCharType="begin"/>
      </w:r>
      <w:r>
        <w:instrText xml:space="preserve"> ADDIN ZOTERO_BIBL {"custom":[]} CSL_BIBLIOGRAPHY </w:instrText>
      </w:r>
      <w:r>
        <w:fldChar w:fldCharType="separate"/>
      </w:r>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p>
    <w:p w14:paraId="2A886C63" w14:textId="77777777" w:rsidR="00731F33" w:rsidRDefault="00731F33" w:rsidP="00731F33">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4EB2C990" w14:textId="77777777" w:rsidR="00731F33" w:rsidRDefault="00731F33" w:rsidP="00731F33">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3BEB6A9C" w14:textId="77777777" w:rsidR="00731F33" w:rsidRDefault="00731F33" w:rsidP="00731F33">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5165BF95" w14:textId="77777777" w:rsidR="00731F33" w:rsidRDefault="00731F33" w:rsidP="00731F33">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477399F6" w14:textId="77777777" w:rsidR="00731F33" w:rsidRDefault="00731F33" w:rsidP="00731F33">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38E63C3F" w14:textId="77777777" w:rsidR="00731F33" w:rsidRDefault="00731F33" w:rsidP="00731F33">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73A21A78" w14:textId="77777777" w:rsidR="00731F33" w:rsidRDefault="00731F33" w:rsidP="00731F33">
      <w:pPr>
        <w:pStyle w:val="Bibliography"/>
      </w:pPr>
      <w:r>
        <w:t xml:space="preserve">Burd, M. (2016) Pollen Limitation Is Common-Should It Be? </w:t>
      </w:r>
      <w:r>
        <w:rPr>
          <w:i/>
          <w:iCs/>
        </w:rPr>
        <w:t>The American Naturalist</w:t>
      </w:r>
      <w:r>
        <w:t xml:space="preserve">, </w:t>
      </w:r>
      <w:r>
        <w:rPr>
          <w:b/>
          <w:bCs/>
        </w:rPr>
        <w:t>187</w:t>
      </w:r>
      <w:r>
        <w:t>, 388–396.</w:t>
      </w:r>
    </w:p>
    <w:p w14:paraId="2CDE68C7" w14:textId="77777777" w:rsidR="00731F33" w:rsidRDefault="00731F33" w:rsidP="00731F33">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6B666572" w14:textId="77777777" w:rsidR="00731F33" w:rsidRDefault="00731F33" w:rsidP="00731F33">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524EA75F" w14:textId="77777777" w:rsidR="00731F33" w:rsidRDefault="00731F33" w:rsidP="00731F33">
      <w:pPr>
        <w:pStyle w:val="Bibliography"/>
      </w:pPr>
      <w:r>
        <w:t xml:space="preserve">Cohen, D. (1976) The optimal timing of reproduction. </w:t>
      </w:r>
      <w:r>
        <w:rPr>
          <w:i/>
          <w:iCs/>
        </w:rPr>
        <w:t>The American Naturalist</w:t>
      </w:r>
      <w:r>
        <w:t xml:space="preserve">, </w:t>
      </w:r>
      <w:r>
        <w:rPr>
          <w:b/>
          <w:bCs/>
        </w:rPr>
        <w:t>110</w:t>
      </w:r>
      <w:r>
        <w:t>, 801.</w:t>
      </w:r>
    </w:p>
    <w:p w14:paraId="2E77C327" w14:textId="77777777" w:rsidR="00731F33" w:rsidRDefault="00731F33" w:rsidP="00731F33">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43866843" w14:textId="77777777" w:rsidR="00731F33" w:rsidRDefault="00731F33" w:rsidP="00731F33">
      <w:pPr>
        <w:pStyle w:val="Bibliography"/>
      </w:pPr>
      <w:r>
        <w:lastRenderedPageBreak/>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65ABBEB" w14:textId="77777777" w:rsidR="00731F33" w:rsidRDefault="00731F33" w:rsidP="00731F33">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1E7D73A" w14:textId="77777777" w:rsidR="00731F33" w:rsidRDefault="00731F33" w:rsidP="00731F33">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26389008" w14:textId="77777777" w:rsidR="00731F33" w:rsidRDefault="00731F33" w:rsidP="00731F33">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62FA5314" w14:textId="77777777" w:rsidR="00731F33" w:rsidRDefault="00731F33" w:rsidP="00731F33">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38520DBE" w14:textId="77777777" w:rsidR="00731F33" w:rsidRDefault="00731F33" w:rsidP="00731F33">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3EE605F2" w14:textId="77777777" w:rsidR="00731F33" w:rsidRDefault="00731F33" w:rsidP="00731F33">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197ED92D" w14:textId="77777777" w:rsidR="00731F33" w:rsidRDefault="00731F33" w:rsidP="00731F33">
      <w:pPr>
        <w:pStyle w:val="Bibliography"/>
      </w:pPr>
      <w:r>
        <w:t xml:space="preserve">Haig, D. &amp; Westoby, M. (1988) On limits to seed production. </w:t>
      </w:r>
      <w:r>
        <w:rPr>
          <w:i/>
          <w:iCs/>
        </w:rPr>
        <w:t>American Naturalist</w:t>
      </w:r>
      <w:r>
        <w:t xml:space="preserve">, </w:t>
      </w:r>
      <w:r>
        <w:rPr>
          <w:b/>
          <w:bCs/>
        </w:rPr>
        <w:t>131</w:t>
      </w:r>
      <w:r>
        <w:t>, 757–759.</w:t>
      </w:r>
    </w:p>
    <w:p w14:paraId="325E5908" w14:textId="77777777" w:rsidR="00731F33" w:rsidRDefault="00731F33" w:rsidP="00731F33">
      <w:pPr>
        <w:pStyle w:val="Bibliography"/>
      </w:pPr>
      <w:r>
        <w:t xml:space="preserve">Harder, L.D. &amp; Barrett, S.C.H. (2006) </w:t>
      </w:r>
      <w:r>
        <w:rPr>
          <w:i/>
          <w:iCs/>
        </w:rPr>
        <w:t>Ecology and Evolution of Flowers</w:t>
      </w:r>
      <w:r>
        <w:t>. Oxford University Press.</w:t>
      </w:r>
    </w:p>
    <w:p w14:paraId="688A5EE5" w14:textId="77777777" w:rsidR="00731F33" w:rsidRDefault="00731F33" w:rsidP="00731F33">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1F6772FA" w14:textId="77777777" w:rsidR="00731F33" w:rsidRDefault="00731F33" w:rsidP="00731F33">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EB296FE" w14:textId="77777777" w:rsidR="00731F33" w:rsidRDefault="00731F33" w:rsidP="00731F33">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045774A1" w14:textId="77777777" w:rsidR="00731F33" w:rsidRDefault="00731F33" w:rsidP="00731F33">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2A21FC9C" w14:textId="77777777" w:rsidR="00731F33" w:rsidRDefault="00731F33" w:rsidP="00731F33">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74E4C862" w14:textId="77777777" w:rsidR="00731F33" w:rsidRDefault="00731F33" w:rsidP="00731F33">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07E83E08" w14:textId="77777777" w:rsidR="00731F33" w:rsidRDefault="00731F33" w:rsidP="00731F33">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73A07811" w14:textId="77777777" w:rsidR="00731F33" w:rsidRDefault="00731F33" w:rsidP="00731F33">
      <w:pPr>
        <w:pStyle w:val="Bibliography"/>
      </w:pPr>
      <w:r>
        <w:lastRenderedPageBreak/>
        <w:t xml:space="preserve">Kelly, D. (1994) The evolutionary ecology of mast seeding. </w:t>
      </w:r>
      <w:r>
        <w:rPr>
          <w:i/>
          <w:iCs/>
        </w:rPr>
        <w:t>Trends in Ecology &amp; Evolution</w:t>
      </w:r>
      <w:r>
        <w:t xml:space="preserve">, </w:t>
      </w:r>
      <w:r>
        <w:rPr>
          <w:b/>
          <w:bCs/>
        </w:rPr>
        <w:t>9</w:t>
      </w:r>
      <w:r>
        <w:t>, 465–470.</w:t>
      </w:r>
    </w:p>
    <w:p w14:paraId="6E2B2919" w14:textId="77777777" w:rsidR="00731F33" w:rsidRDefault="00731F33" w:rsidP="00731F33">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08D486EB" w14:textId="77777777" w:rsidR="00731F33" w:rsidRDefault="00731F33" w:rsidP="00731F33">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5C4888F6" w14:textId="77777777" w:rsidR="00731F33" w:rsidRDefault="00731F33" w:rsidP="00731F33">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65BB29EB" w14:textId="77777777" w:rsidR="00731F33" w:rsidRDefault="00731F33" w:rsidP="00731F33">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5844136E" w14:textId="77777777" w:rsidR="00731F33" w:rsidRDefault="00731F33" w:rsidP="00731F33">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46AA54DA" w14:textId="77777777" w:rsidR="00731F33" w:rsidRDefault="00731F33" w:rsidP="00731F33">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0F860CA2" w14:textId="77777777" w:rsidR="00731F33" w:rsidRDefault="00731F33" w:rsidP="00731F33">
      <w:pPr>
        <w:pStyle w:val="Bibliography"/>
      </w:pPr>
      <w:r>
        <w:t xml:space="preserve">Lord, J.M. &amp; Westoby, M. (2006) Accessory costs of seed production. </w:t>
      </w:r>
      <w:r>
        <w:rPr>
          <w:i/>
          <w:iCs/>
        </w:rPr>
        <w:t>Oecologia</w:t>
      </w:r>
      <w:r>
        <w:t xml:space="preserve">, </w:t>
      </w:r>
      <w:r>
        <w:rPr>
          <w:b/>
          <w:bCs/>
        </w:rPr>
        <w:t>150</w:t>
      </w:r>
      <w:r>
        <w:t>, 310–317.</w:t>
      </w:r>
    </w:p>
    <w:p w14:paraId="249F69BC" w14:textId="77777777" w:rsidR="00731F33" w:rsidRDefault="00731F33" w:rsidP="00731F33">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12A824B2" w14:textId="77777777" w:rsidR="00731F33" w:rsidRDefault="00731F33" w:rsidP="00731F33">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57947A82" w14:textId="77777777" w:rsidR="00731F33" w:rsidRDefault="00731F33" w:rsidP="00731F33">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762CAFC1" w14:textId="77777777" w:rsidR="00731F33" w:rsidRDefault="00731F33" w:rsidP="00731F33">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2B5F79D9" w14:textId="77777777" w:rsidR="00731F33" w:rsidRDefault="00731F33" w:rsidP="00731F33">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08D241B1" w14:textId="77777777" w:rsidR="00731F33" w:rsidRDefault="00731F33" w:rsidP="00731F33">
      <w:pPr>
        <w:pStyle w:val="Bibliography"/>
      </w:pPr>
      <w:r>
        <w:t xml:space="preserve">Mock, D.W. &amp; Forbes, L.S. (1995) The evolution of parental optimism. </w:t>
      </w:r>
      <w:r>
        <w:rPr>
          <w:i/>
          <w:iCs/>
        </w:rPr>
        <w:t>Trends in Ecology &amp; Evolution</w:t>
      </w:r>
      <w:r>
        <w:t xml:space="preserve">, </w:t>
      </w:r>
      <w:r>
        <w:rPr>
          <w:b/>
          <w:bCs/>
        </w:rPr>
        <w:t>10</w:t>
      </w:r>
      <w:r>
        <w:t>, 130–134.</w:t>
      </w:r>
    </w:p>
    <w:p w14:paraId="052EDE33" w14:textId="77777777" w:rsidR="00731F33" w:rsidRDefault="00731F33" w:rsidP="00731F33">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720EF529" w14:textId="77777777" w:rsidR="00731F33" w:rsidRDefault="00731F33" w:rsidP="00731F33">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2E00D4C" w14:textId="77777777" w:rsidR="00731F33" w:rsidRDefault="00731F33" w:rsidP="00731F33">
      <w:pPr>
        <w:pStyle w:val="Bibliography"/>
      </w:pPr>
      <w:r>
        <w:lastRenderedPageBreak/>
        <w:t xml:space="preserve">Moles, A.T. &amp; Westoby, M. (2006) Seed size and plant strategy across the whole life cycle. </w:t>
      </w:r>
      <w:r>
        <w:rPr>
          <w:i/>
          <w:iCs/>
        </w:rPr>
        <w:t>Oikos</w:t>
      </w:r>
      <w:r>
        <w:t xml:space="preserve">, </w:t>
      </w:r>
      <w:r>
        <w:rPr>
          <w:b/>
          <w:bCs/>
        </w:rPr>
        <w:t>113</w:t>
      </w:r>
      <w:r>
        <w:t>, 91–105.</w:t>
      </w:r>
    </w:p>
    <w:p w14:paraId="286AE990" w14:textId="77777777" w:rsidR="00731F33" w:rsidRDefault="00731F33" w:rsidP="00731F33">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288F01B2" w14:textId="77777777" w:rsidR="00731F33" w:rsidRDefault="00731F33" w:rsidP="00731F33">
      <w:pPr>
        <w:pStyle w:val="Bibliography"/>
      </w:pPr>
      <w:r>
        <w:t xml:space="preserve">NSW Office of the Environment. (2006) </w:t>
      </w:r>
      <w:r>
        <w:rPr>
          <w:i/>
          <w:iCs/>
        </w:rPr>
        <w:t>Ku-Ring-Gai Chase National Park Fire Management Strategy</w:t>
      </w:r>
      <w:r>
        <w:t>.</w:t>
      </w:r>
    </w:p>
    <w:p w14:paraId="1140CEFA" w14:textId="77777777" w:rsidR="00731F33" w:rsidRDefault="00731F33" w:rsidP="00731F33">
      <w:pPr>
        <w:pStyle w:val="Bibliography"/>
      </w:pPr>
      <w:r>
        <w:t xml:space="preserve">Obeso, J.R. (2002) The costs of reproduction in plants. </w:t>
      </w:r>
      <w:r>
        <w:rPr>
          <w:i/>
          <w:iCs/>
        </w:rPr>
        <w:t>New Phytologist</w:t>
      </w:r>
      <w:r>
        <w:t xml:space="preserve">, </w:t>
      </w:r>
      <w:r>
        <w:rPr>
          <w:b/>
          <w:bCs/>
        </w:rPr>
        <w:t>155</w:t>
      </w:r>
      <w:r>
        <w:t>, 321–348.</w:t>
      </w:r>
    </w:p>
    <w:p w14:paraId="7E5100F8" w14:textId="77777777" w:rsidR="00731F33" w:rsidRDefault="00731F33" w:rsidP="00731F33">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049F141F" w14:textId="77777777" w:rsidR="00731F33" w:rsidRDefault="00731F33" w:rsidP="00731F33">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65D39DA2" w14:textId="77777777" w:rsidR="00731F33" w:rsidRDefault="00731F33" w:rsidP="00731F33">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02534EC9" w14:textId="77777777" w:rsidR="00731F33" w:rsidRDefault="00731F33" w:rsidP="00731F33">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51021CF5" w14:textId="77777777" w:rsidR="00731F33" w:rsidRDefault="00731F33" w:rsidP="00731F33">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91DB5BA" w14:textId="77777777" w:rsidR="00731F33" w:rsidRDefault="00731F33" w:rsidP="00731F33">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63D17F6D" w14:textId="77777777" w:rsidR="00731F33" w:rsidRDefault="00731F33" w:rsidP="00731F33">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77127726" w14:textId="77777777" w:rsidR="00731F33" w:rsidRDefault="00731F33" w:rsidP="00731F33">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1A71E4FE" w14:textId="77777777" w:rsidR="00731F33" w:rsidRDefault="00731F33" w:rsidP="00731F33">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1E6AA53D" w14:textId="77777777" w:rsidR="00731F33" w:rsidRDefault="00731F33" w:rsidP="00731F33">
      <w:pPr>
        <w:pStyle w:val="Bibliography"/>
      </w:pPr>
      <w:r>
        <w:t xml:space="preserve">Rosenheim, J.A., Schreiber, S.J. &amp; Williams, N.M. (2015) Does an “oversupply” of ovules cause pollen limitation? </w:t>
      </w:r>
      <w:r>
        <w:rPr>
          <w:i/>
          <w:iCs/>
        </w:rPr>
        <w:t>New Phytologist</w:t>
      </w:r>
      <w:r>
        <w:t>, n/a-n/a.</w:t>
      </w:r>
    </w:p>
    <w:p w14:paraId="7C51DB24" w14:textId="77777777" w:rsidR="00731F33" w:rsidRDefault="00731F33" w:rsidP="00731F33">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6B50E6F1" w14:textId="77777777" w:rsidR="00731F33" w:rsidRDefault="00731F33" w:rsidP="00731F33">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19B896ED" w14:textId="77777777" w:rsidR="00731F33" w:rsidRDefault="00731F33" w:rsidP="00731F33">
      <w:pPr>
        <w:pStyle w:val="Bibliography"/>
      </w:pPr>
      <w:r>
        <w:lastRenderedPageBreak/>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5982C0D0" w14:textId="77777777" w:rsidR="00731F33" w:rsidRDefault="00731F33" w:rsidP="00731F33">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82BC6AE" w14:textId="77777777" w:rsidR="00731F33" w:rsidRDefault="00731F33" w:rsidP="00731F33">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1271AFE5" w14:textId="77777777" w:rsidR="00731F33" w:rsidRDefault="00731F33" w:rsidP="00731F33">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2E759DE3" w14:textId="77777777" w:rsidR="00731F33" w:rsidRDefault="00731F33" w:rsidP="00731F33">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7136E20E" w14:textId="77777777" w:rsidR="00731F33" w:rsidRDefault="00731F33" w:rsidP="00731F33">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618B360F" w14:textId="77777777" w:rsidR="00731F33" w:rsidRDefault="00731F33" w:rsidP="00731F33">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34A5CAC5" w14:textId="77777777" w:rsidR="00731F33" w:rsidRDefault="00731F33" w:rsidP="00731F33">
      <w:pPr>
        <w:pStyle w:val="Bibliography"/>
      </w:pPr>
      <w:r>
        <w:t xml:space="preserve">Sutherland, S. (1986) Patterns of fruit-set: what controls fruit-flower ratios in plants? </w:t>
      </w:r>
      <w:r>
        <w:rPr>
          <w:i/>
          <w:iCs/>
        </w:rPr>
        <w:t>Evolution</w:t>
      </w:r>
      <w:r>
        <w:t xml:space="preserve">, </w:t>
      </w:r>
      <w:r>
        <w:rPr>
          <w:b/>
          <w:bCs/>
        </w:rPr>
        <w:t>40</w:t>
      </w:r>
      <w:r>
        <w:t>, 117–128.</w:t>
      </w:r>
    </w:p>
    <w:p w14:paraId="5760C1EE" w14:textId="77777777" w:rsidR="00731F33" w:rsidRDefault="00731F33" w:rsidP="00731F33">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35FCA38C" w14:textId="77777777" w:rsidR="00731F33" w:rsidRDefault="00731F33" w:rsidP="00731F33">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381B14C4" w14:textId="77777777" w:rsidR="00731F33" w:rsidRDefault="00731F33" w:rsidP="00731F33">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01F8740E" w14:textId="77777777" w:rsidR="00731F33" w:rsidRDefault="00731F33" w:rsidP="00731F33">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3388F030" w14:textId="77777777" w:rsidR="00731F33" w:rsidRDefault="00731F33" w:rsidP="00731F33">
      <w:pPr>
        <w:pStyle w:val="Bibliography"/>
      </w:pPr>
      <w:r>
        <w:t xml:space="preserve">Willson, M.F. &amp; Burley, N. (1983) </w:t>
      </w:r>
      <w:r>
        <w:rPr>
          <w:i/>
          <w:iCs/>
        </w:rPr>
        <w:t>Mate Choice in Plants: Tactics, Mechanisms, and Consequences</w:t>
      </w:r>
      <w:r>
        <w:t>. Princeton University Press.</w:t>
      </w:r>
    </w:p>
    <w:p w14:paraId="277336A3" w14:textId="77777777" w:rsidR="00731F33" w:rsidRDefault="00731F33" w:rsidP="00731F33">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4B2A69" w:rsidRDefault="004B2A6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4B2A69" w:rsidRDefault="004B2A6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4B2A69" w:rsidRDefault="004B2A6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4B2A69" w:rsidRDefault="004B2A69">
      <w:pPr>
        <w:pStyle w:val="CommentText"/>
      </w:pPr>
    </w:p>
  </w:comment>
  <w:comment w:id="1" w:author="Daniel Falster" w:date="2016-08-29T13:12:00Z" w:initials="DF">
    <w:p w14:paraId="2AAADB8C" w14:textId="570732B9" w:rsidR="004B2A69" w:rsidRDefault="004B2A69">
      <w:pPr>
        <w:pStyle w:val="CommentText"/>
      </w:pPr>
      <w:r>
        <w:rPr>
          <w:rStyle w:val="CommentReference"/>
        </w:rPr>
        <w:annotationRef/>
      </w:r>
      <w:r w:rsidRPr="003C3342">
        <w:t>http://www.journals.uchicago.edu/journals/an/instruct</w:t>
      </w:r>
    </w:p>
    <w:p w14:paraId="4A31C510" w14:textId="42B35B96" w:rsidR="004B2A69" w:rsidRDefault="004B2A69">
      <w:pPr>
        <w:pStyle w:val="CommentText"/>
      </w:pPr>
      <w:r w:rsidRPr="003C3342">
        <w:t>21 manuscript pages or fewer of text, not includin</w:t>
      </w:r>
      <w:r>
        <w:t>g the literature cited,</w:t>
      </w:r>
      <w:r w:rsidRPr="003C3342">
        <w:t xml:space="preserve"> no more than six tables and/or figures</w:t>
      </w:r>
    </w:p>
  </w:comment>
  <w:comment w:id="5" w:author="Dr Elizabeth Wenk " w:date="2016-11-24T13:50:00Z" w:initials="DEW">
    <w:p w14:paraId="422E4B62" w14:textId="3AF4030E" w:rsidR="006111CA" w:rsidRDefault="006111CA">
      <w:pPr>
        <w:pStyle w:val="CommentText"/>
      </w:pPr>
      <w:r>
        <w:rPr>
          <w:rStyle w:val="CommentReference"/>
        </w:rPr>
        <w:annotationRef/>
      </w:r>
      <w:r>
        <w:t xml:space="preserve">I’ve had “success costs” here, but actually total </w:t>
      </w:r>
      <w:proofErr w:type="gramStart"/>
      <w:r>
        <w:t>“ reproductive</w:t>
      </w:r>
      <w:proofErr w:type="gramEnd"/>
      <w:r>
        <w:t xml:space="preserve"> costs” including aborted material is a better logical fit.</w:t>
      </w:r>
      <w:r w:rsidR="00F91906">
        <w:t xml:space="preserve"> So I’ve changed throughout – doesn’t actually change the message at all.</w:t>
      </w:r>
    </w:p>
  </w:comment>
  <w:comment w:id="6" w:author="Dr Elizabeth Wenk " w:date="2016-09-05T11:06:00Z" w:initials="DEW">
    <w:p w14:paraId="420078CC" w14:textId="129691DE" w:rsidR="004B2A69" w:rsidRDefault="004B2A69"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4B2A69" w:rsidRDefault="004B2A69" w:rsidP="00B5625C">
      <w:pPr>
        <w:pStyle w:val="CommentText"/>
      </w:pPr>
    </w:p>
    <w:p w14:paraId="1D56C3E5" w14:textId="77777777" w:rsidR="004B2A69" w:rsidRDefault="004B2A69" w:rsidP="00B5625C">
      <w:pPr>
        <w:pStyle w:val="CommentText"/>
      </w:pPr>
      <w:r>
        <w:t>MW Personally I quite like the idea of such a schematic, but it seems likely to invite the question whether a formal path analysis has been done</w:t>
      </w:r>
    </w:p>
    <w:p w14:paraId="4DADA111" w14:textId="1908DC46" w:rsidR="004B2A69" w:rsidRPr="00B5625C" w:rsidRDefault="004B2A6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422E4B62"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BF5B3" w14:textId="77777777" w:rsidR="009B5DE1" w:rsidRDefault="009B5DE1" w:rsidP="00991A62">
      <w:pPr>
        <w:spacing w:after="0" w:line="240" w:lineRule="auto"/>
      </w:pPr>
      <w:r>
        <w:separator/>
      </w:r>
    </w:p>
  </w:endnote>
  <w:endnote w:type="continuationSeparator" w:id="0">
    <w:p w14:paraId="25349736" w14:textId="77777777" w:rsidR="009B5DE1" w:rsidRDefault="009B5DE1"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4B2A69" w:rsidRDefault="004B2A69">
        <w:pPr>
          <w:pStyle w:val="Footer"/>
          <w:jc w:val="right"/>
        </w:pPr>
        <w:r>
          <w:fldChar w:fldCharType="begin"/>
        </w:r>
        <w:r>
          <w:instrText xml:space="preserve"> PAGE   \* MERGEFORMAT </w:instrText>
        </w:r>
        <w:r>
          <w:fldChar w:fldCharType="separate"/>
        </w:r>
        <w:r w:rsidR="00EC1C02">
          <w:rPr>
            <w:noProof/>
          </w:rPr>
          <w:t>2</w:t>
        </w:r>
        <w:r>
          <w:rPr>
            <w:noProof/>
          </w:rPr>
          <w:fldChar w:fldCharType="end"/>
        </w:r>
      </w:p>
    </w:sdtContent>
  </w:sdt>
  <w:p w14:paraId="2E4FBA35" w14:textId="77777777" w:rsidR="004B2A69" w:rsidRDefault="004B2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EA3C7" w14:textId="77777777" w:rsidR="009B5DE1" w:rsidRDefault="009B5DE1" w:rsidP="00991A62">
      <w:pPr>
        <w:spacing w:after="0" w:line="240" w:lineRule="auto"/>
      </w:pPr>
      <w:r>
        <w:separator/>
      </w:r>
    </w:p>
  </w:footnote>
  <w:footnote w:type="continuationSeparator" w:id="0">
    <w:p w14:paraId="6E251035" w14:textId="77777777" w:rsidR="009B5DE1" w:rsidRDefault="009B5DE1"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50E7"/>
    <w:rsid w:val="000B60EB"/>
    <w:rsid w:val="000C438C"/>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66D4"/>
    <w:rsid w:val="00147C3B"/>
    <w:rsid w:val="00151EF3"/>
    <w:rsid w:val="00155B47"/>
    <w:rsid w:val="00155CC0"/>
    <w:rsid w:val="001606B8"/>
    <w:rsid w:val="00161521"/>
    <w:rsid w:val="0017109B"/>
    <w:rsid w:val="00171B5B"/>
    <w:rsid w:val="00172307"/>
    <w:rsid w:val="0017467B"/>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2B64"/>
    <w:rsid w:val="00254E85"/>
    <w:rsid w:val="00256119"/>
    <w:rsid w:val="0026173D"/>
    <w:rsid w:val="00261F69"/>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137C"/>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1477"/>
    <w:rsid w:val="007A27AD"/>
    <w:rsid w:val="007A35CC"/>
    <w:rsid w:val="007A5770"/>
    <w:rsid w:val="007A7959"/>
    <w:rsid w:val="007B18EB"/>
    <w:rsid w:val="007B6510"/>
    <w:rsid w:val="007B6CA2"/>
    <w:rsid w:val="007B7178"/>
    <w:rsid w:val="007C2559"/>
    <w:rsid w:val="007C32CE"/>
    <w:rsid w:val="007C6EDF"/>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5E5"/>
    <w:rsid w:val="008934FF"/>
    <w:rsid w:val="00893F51"/>
    <w:rsid w:val="008978FD"/>
    <w:rsid w:val="008A0565"/>
    <w:rsid w:val="008A1902"/>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E56"/>
    <w:rsid w:val="00933507"/>
    <w:rsid w:val="00933D88"/>
    <w:rsid w:val="00934455"/>
    <w:rsid w:val="009347F0"/>
    <w:rsid w:val="009348CB"/>
    <w:rsid w:val="00936BE9"/>
    <w:rsid w:val="00937390"/>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972A0"/>
    <w:rsid w:val="009A035F"/>
    <w:rsid w:val="009A06EF"/>
    <w:rsid w:val="009A3CA2"/>
    <w:rsid w:val="009A3F95"/>
    <w:rsid w:val="009B32D0"/>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740"/>
    <w:rsid w:val="00B04B52"/>
    <w:rsid w:val="00B06845"/>
    <w:rsid w:val="00B07AD7"/>
    <w:rsid w:val="00B11F2C"/>
    <w:rsid w:val="00B178C5"/>
    <w:rsid w:val="00B17A3F"/>
    <w:rsid w:val="00B24069"/>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6FB7"/>
    <w:rsid w:val="00D30364"/>
    <w:rsid w:val="00D305A2"/>
    <w:rsid w:val="00D345B6"/>
    <w:rsid w:val="00D363F8"/>
    <w:rsid w:val="00D40633"/>
    <w:rsid w:val="00D406B9"/>
    <w:rsid w:val="00D41545"/>
    <w:rsid w:val="00D4285E"/>
    <w:rsid w:val="00D433BD"/>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F01E37"/>
    <w:rsid w:val="00F02B42"/>
    <w:rsid w:val="00F0317B"/>
    <w:rsid w:val="00F1202D"/>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4CDC5-99DD-4087-86DE-F3159312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32</Pages>
  <Words>46784</Words>
  <Characters>266670</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13</cp:revision>
  <cp:lastPrinted>2016-03-21T02:58:00Z</cp:lastPrinted>
  <dcterms:created xsi:type="dcterms:W3CDTF">2016-11-17T02:26:00Z</dcterms:created>
  <dcterms:modified xsi:type="dcterms:W3CDTF">2016-11-24T05:24:00Z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id="45bMT7JW"/&gt;&lt;style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