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032" w:rsidRDefault="00A75447">
      <w:r>
        <w:t>Big questions:</w:t>
      </w:r>
    </w:p>
    <w:p w:rsidR="00A14E06" w:rsidRDefault="00A14E06" w:rsidP="00A14E06">
      <w:pPr>
        <w:pStyle w:val="ListParagraph"/>
        <w:numPr>
          <w:ilvl w:val="0"/>
          <w:numId w:val="5"/>
        </w:numPr>
      </w:pPr>
      <w:r>
        <w:t>Do we incorporate any other data – change in height growth with reproductive onset, change in shoot extension (or new shoot leaf area). Many other factors also shift with plant age.</w:t>
      </w:r>
    </w:p>
    <w:p w:rsidR="00C95032" w:rsidRDefault="00C95032" w:rsidP="00E401CD">
      <w:pPr>
        <w:pStyle w:val="Heading1"/>
      </w:pPr>
      <w:r>
        <w:t>Introduction</w:t>
      </w:r>
    </w:p>
    <w:p w:rsidR="00596552" w:rsidRDefault="007B5320" w:rsidP="007A6B12">
      <w:r>
        <w:t>A fundamental trade-off faced by all organisms is how to partition available energy into growth versus reproduction</w:t>
      </w:r>
      <w:r w:rsidR="008A4174">
        <w:t xml:space="preserve"> </w:t>
      </w:r>
      <w:r w:rsidR="008A4174">
        <w:fldChar w:fldCharType="begin"/>
      </w:r>
      <w:r w:rsidR="00F73634">
        <w:instrText xml:space="preserve"> ADDIN ZOTERO_ITEM CSL_CITATION {"citationID":"iXiS2qSl","properties":{"formattedCitation":"{\\rtf (Obeso 2002; Wright {\\i{}et al.} 2005; Weiner {\\i{}et al.} 2009; Wenk &amp; Falster 2015)}","plainCitation":"(Obeso 2002; Wright et al. 2005; Weiner et al. 2009; Wenk &amp; Falster 2015)"},"citationItems":[{"id":904,"uris":["http://zotero.org/users/503753/items/SHV6442F"],"uri":["http://zotero.org/users/503753/items/SHV6442F"],"itemData":{"id":904,"type":"article-journal","title":"The costs of reproduction in plants","container-title":"New Phytologist","page":"321-348","volume":"155","issue":"3","source":"CrossRef","DOI":"10.1046/j.1469-8137.2002.00477.x","ISSN":"0028-646X","journalAbbreviation":"New Phytol","author":[{"family":"Obeso","given":"Jose Ramon"}],"issued":{"date-parts":[["2002",9]]}}},{"id":45,"uris":["http://zotero.org/groups/37061/items/I2Q7DW3C"],"uri":["http://zotero.org/groups/37061/items/I2Q7DW3C"],"itemData":{"id":45,"type":"article-journal","title":"Reproductive size thresholds in tropical trees: variation among individuals, species and forests","container-title":"Journal of Tropical Ecology","page":"307-315","volume":"21","issue":"03","source":"Cambridge Journals Online","abstract":"Relative size at onset of maturity (RSOM) is defined as size at first reproduction divided by asymptotic maximal size. RSOM is remarkably constant among species within many higher clades of animals, but varies widely among tree species from the Pasoh Forest Reserve, Malaysia according to the work of S. C. Thomas. RSOM was examined for 16 mid-storey and canopy tree species from a second tropical forest at Barro Colorado Island (BCI), Panama. Interspecific variation in RSOM was equally large for BCI and Pasoh and was unrelated to gap dependence or life form for BCI species. The shape of the relationship between size and the proportion of individuals that were reproductive differed between forests, with an abrupt increase over a narrow range of sizes at Pasoh and a more gradual increase over a wider range of sizes at BCI. Both overtopping trees and heavy liana infestation reduced the probability that BCI trees were reproductive. This presumably reflects reduced availability of carbon for reproduction. We speculate that greater liana loads and a greater abundance of large, shade-casting trees at BCI may increase variation among individuals and contribute to the relatively wide range of sizes characterized by a mixture of sterile and fertile individuals observed for most BCI species.","DOI":"10.1017/S0266467405002294","call-number":"0026","shortTitle":"Reproductive Size Thresholds in Tropical Trees","author":[{"family":"Wright","given":"S. J."},{"family":"Jaramillo","given":"M. A."},{"family":"Pavon","given":"J."},{"family":"Condit","given":"R."},{"family":"Hubbell","given":"S. P."},{"family":"Foster","given":"R. B."}],"issued":{"date-parts":[["2005"]]}}},{"id":485,"uris":["http://zotero.org/users/503753/items/E5TZKK83"],"uri":["http://zotero.org/users/503753/items/E5TZKK83"],"itemData":{"id":485,"type":"article-journal","title":"The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rsidR="008A4174">
        <w:fldChar w:fldCharType="separate"/>
      </w:r>
      <w:r w:rsidR="00F73634" w:rsidRPr="00F73634">
        <w:rPr>
          <w:rFonts w:ascii="Calibri" w:hAnsi="Calibri" w:cs="Times New Roman"/>
          <w:szCs w:val="24"/>
        </w:rPr>
        <w:t xml:space="preserve">(Obeso 2002; 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2005; Weiner </w:t>
      </w:r>
      <w:r w:rsidR="00F73634" w:rsidRPr="00F73634">
        <w:rPr>
          <w:rFonts w:ascii="Calibri" w:hAnsi="Calibri" w:cs="Times New Roman"/>
          <w:i/>
          <w:iCs/>
          <w:szCs w:val="24"/>
        </w:rPr>
        <w:t>et al.</w:t>
      </w:r>
      <w:r w:rsidR="00F73634" w:rsidRPr="00F73634">
        <w:rPr>
          <w:rFonts w:ascii="Calibri" w:hAnsi="Calibri" w:cs="Times New Roman"/>
          <w:szCs w:val="24"/>
        </w:rPr>
        <w:t xml:space="preserve"> 2009; Wenk &amp; Falster 2015)</w:t>
      </w:r>
      <w:r w:rsidR="008A4174">
        <w:fldChar w:fldCharType="end"/>
      </w:r>
      <w:r>
        <w:t xml:space="preserve">. </w:t>
      </w:r>
      <w:r w:rsidR="008A4174">
        <w:t>G</w:t>
      </w:r>
      <w:r w:rsidR="007A6B12">
        <w:t xml:space="preserve">reater </w:t>
      </w:r>
      <w:r w:rsidR="00C86540">
        <w:t>investment in growth translates to</w:t>
      </w:r>
      <w:r w:rsidR="00250722">
        <w:t xml:space="preserve"> more</w:t>
      </w:r>
      <w:r w:rsidR="00250722" w:rsidRPr="00250722">
        <w:t xml:space="preserve"> </w:t>
      </w:r>
      <w:r w:rsidR="00250722">
        <w:t xml:space="preserve">rapid height increases and greater leaf area, </w:t>
      </w:r>
      <w:r w:rsidR="00A14E06">
        <w:t xml:space="preserve">resulting in greater access to light and higher photosynthetic yield, in turn </w:t>
      </w:r>
      <w:r w:rsidR="00250722">
        <w:t>leading to</w:t>
      </w:r>
      <w:r w:rsidR="00C86540">
        <w:t xml:space="preserve"> improved competitive outcomes </w:t>
      </w:r>
      <w:r w:rsidR="007A6B12">
        <w:t xml:space="preserve">and consequently higher </w:t>
      </w:r>
      <w:r w:rsidR="00D05870">
        <w:t>survival</w:t>
      </w:r>
      <w:r w:rsidR="00F73634">
        <w:t xml:space="preserve"> </w:t>
      </w:r>
      <w:r w:rsidR="00F73634">
        <w:fldChar w:fldCharType="begin"/>
      </w:r>
      <w:r w:rsidR="00F73634">
        <w:instrText xml:space="preserve"> ADDIN ZOTERO_ITEM CSL_CITATION {"citationID":"1qv76fop0h","properties":{"formattedCitation":"{\\rtf (Wright {\\i{}et al.} 2010)}","plainCitation":"(Wright et al. 2010)"},"citationItems":[{"id":313,"uris":["http://zotero.org/users/503753/items/8C2RMUH3"],"uri":["http://zotero.org/users/503753/items/8C2RMUH3"],"itemData":{"id":313,"type":"article-journal","title":"Functional traits and the growth–mortality trade-off in tropical trees","container-title":"Ecology","page":"3664-3674","volume":"91","issue":"12","source":"CrossRef","DOI":"10.1890/09-2335.1","ISSN":"0012-9658","journalAbbreviation":"Ecology","author":[{"family":"Wright","given":"S. Joseph"},{"family":"Kitajima","given":"Kaoru"},{"family":"Kraft","given":"Nathan J. B."},{"family":"Reich","given":"Peter B."},{"family":"Wright","given":"Ian J."},{"family":"Bunker","given":"Daniel E."},{"family":"Condit","given":"Richard"},{"family":"Dalling","given":"James W."},{"family":"Davies","given":"Stuart J."},{"family":"Díaz","given":"Sandra"},{"family":"Engelbrecht","given":"Bettina M. J."},{"family":"Harms","given":"Kyle E."},{"family":"Hubbell","given":"Stephen P."},{"family":"Marks","given":"Christian O."},{"family":"Ruiz-Jaen","given":"Maria C."},{"family":"Salvador","given":"Cristina M."},{"family":"Zanne","given":"Amy E."}],"issued":{"date-parts":[["2010",12]]}}}],"schema":"https://github.com/citation-style-language/schema/raw/master/csl-citation.json"} </w:instrText>
      </w:r>
      <w:r w:rsidR="00F73634">
        <w:fldChar w:fldCharType="separate"/>
      </w:r>
      <w:r w:rsidR="00F73634" w:rsidRPr="00F73634">
        <w:rPr>
          <w:rFonts w:ascii="Calibri" w:hAnsi="Calibri" w:cs="Times New Roman"/>
          <w:szCs w:val="24"/>
        </w:rPr>
        <w:t xml:space="preserve">(Wright </w:t>
      </w:r>
      <w:r w:rsidR="00F73634" w:rsidRPr="00F73634">
        <w:rPr>
          <w:rFonts w:ascii="Calibri" w:hAnsi="Calibri" w:cs="Times New Roman"/>
          <w:i/>
          <w:iCs/>
          <w:szCs w:val="24"/>
        </w:rPr>
        <w:t>et al.</w:t>
      </w:r>
      <w:r w:rsidR="00F73634" w:rsidRPr="00F73634">
        <w:rPr>
          <w:rFonts w:ascii="Calibri" w:hAnsi="Calibri" w:cs="Times New Roman"/>
          <w:szCs w:val="24"/>
        </w:rPr>
        <w:t xml:space="preserve"> 2010)</w:t>
      </w:r>
      <w:r w:rsidR="00F73634">
        <w:fldChar w:fldCharType="end"/>
      </w:r>
      <w:r w:rsidR="00D05870">
        <w:t>. In contrast, reproductive production directly</w:t>
      </w:r>
      <w:r w:rsidR="00A14E06">
        <w:t xml:space="preserve"> and immediately</w:t>
      </w:r>
      <w:r w:rsidR="00D05870">
        <w:t xml:space="preserve"> increases fitness through seed production. </w:t>
      </w:r>
      <w:r w:rsidR="00FB42A7">
        <w:t xml:space="preserve">Early </w:t>
      </w:r>
      <w:r w:rsidR="00E401CD">
        <w:t xml:space="preserve">theoretical explorations of this trade-off suggest an individual’s fitness is always maximized by first investing solely in growth and then </w:t>
      </w:r>
      <w:r w:rsidR="007A6B12">
        <w:t xml:space="preserve">ceasing growth and </w:t>
      </w:r>
      <w:r w:rsidR="00E401CD">
        <w:t>having a single year of reproduction</w:t>
      </w:r>
      <w:r w:rsidR="007A6B12">
        <w:t xml:space="preserve"> followed by death</w:t>
      </w:r>
      <w:r w:rsidR="00E401CD">
        <w:t xml:space="preserve"> </w:t>
      </w:r>
      <w:r w:rsidR="007A6B12">
        <w:fldChar w:fldCharType="begin"/>
      </w:r>
      <w:r w:rsidR="007A6B12">
        <w:instrText xml:space="preserve"> ADDIN ZOTERO_ITEM CSL_CITATION {"citationID":"16b0ic84t9","properties":{"formattedCitation":"(Cole 1954)","plainCitation":"(Cole 1954)"},"citationItems":[{"id":323,"uris":["http://zotero.org/users/503753/items/8NUMSTD2"],"uri":["http://zotero.org/users/503753/items/8NUMSTD2"],"itemData":{"id":323,"type":"article-journal","title":"The population consequences of life history phenomena","container-title":"The Quarterly Review of Biology","page":"103-137","volume":"29","issue":"2","ISSN":"00335770","note":"ArticleType: research-article / Full publication date: Jun., 1954 / Copyright © 1954 The University of Chicago Press","author":[{"family":"Cole","given":"Lamont C."}],"issued":{"date-parts":[["1954",6,1]]}}}],"schema":"https://github.com/citation-style-language/schema/raw/master/csl-citation.json"} </w:instrText>
      </w:r>
      <w:r w:rsidR="007A6B12">
        <w:fldChar w:fldCharType="separate"/>
      </w:r>
      <w:r w:rsidR="007A6B12" w:rsidRPr="007A6B12">
        <w:rPr>
          <w:rFonts w:ascii="Calibri" w:hAnsi="Calibri"/>
        </w:rPr>
        <w:t>(Cole 1954)</w:t>
      </w:r>
      <w:r w:rsidR="007A6B12">
        <w:fldChar w:fldCharType="end"/>
      </w:r>
      <w:r w:rsidR="007A6B12">
        <w:t>, termed the big-bang strategy</w:t>
      </w:r>
      <w:r w:rsidR="00FB42A7">
        <w:t>. However,</w:t>
      </w:r>
      <w:r w:rsidR="00FB42A7" w:rsidRPr="00FB42A7">
        <w:t xml:space="preserve"> </w:t>
      </w:r>
      <w:r w:rsidR="00FB42A7">
        <w:t xml:space="preserve">perennial plants, excepting a small number of specialized species </w:t>
      </w:r>
      <w:r w:rsidR="00FB42A7">
        <w:fldChar w:fldCharType="begin"/>
      </w:r>
      <w:r w:rsidR="00FB42A7">
        <w:instrText xml:space="preserve"> ADDIN ZOTERO_ITEM CSL_CITATION {"citationID":"166mc0k6h","properties":{"formattedCitation":"(Young 2010; Thomas 2011)","plainCitation":"(Young 2010; Thomas 2011)"},"citationItems":[{"id":838,"uris":["http://zotero.org/users/503753/items/QBBHSK4N"],"uri":["http://zotero.org/users/503753/items/QBBHSK4N"],"itemData":{"id":838,"type":"article-journal","title":"Semelparity and iteroparity","container-title":"Nature Education Knowledge","page":"2","volume":"3","issue":"10","author":[{"family":"Young","given":"Truman P."}],"issued":{"date-parts":[["2010"]]}}},{"id":361,"uris":["http://zotero.org/users/503753/items/A5DKECRU"],"uri":["http://zotero.org/users/503753/items/A5DKECRU"],"itemData":{"id":361,"type":"chapter","title":"Age-related changes in tree growth and functional biology: the role of reproduction","container-title":"Size- and Age-Related Changes in Tree Structure and Function","publisher":"Springer Netherlands","publisher-place":"Dordrecht","page":"33-64","volume":"4","source":"CrossRef","event-place":"Dordrecht","URL":"doi/10%2E1007%2F978-94-007-1242-3_2","ISBN":"978-94-007-1241-6","shortTitle":"Age-Related Changes in Tree Growth and Functional Biology","editor":[{"family":"Meinzer","given":"Frederick C."},{"family":"Lachenbruch","given":"Barbara"},{"family":"Dawson","given":"Todd E."}],"author":[{"family":"Thomas","given":"Sean C."}],"issued":{"date-parts":[["2011"]]},"accessed":{"date-parts":[["2011",11,25]]}}}],"schema":"https://github.com/citation-style-language/schema/raw/master/csl-citation.json"} </w:instrText>
      </w:r>
      <w:r w:rsidR="00FB42A7">
        <w:fldChar w:fldCharType="separate"/>
      </w:r>
      <w:r w:rsidR="00FB42A7" w:rsidRPr="0071474E">
        <w:rPr>
          <w:rFonts w:ascii="Calibri" w:hAnsi="Calibri"/>
        </w:rPr>
        <w:t>(Young 2010; Thomas 2011)</w:t>
      </w:r>
      <w:r w:rsidR="00FB42A7">
        <w:fldChar w:fldCharType="end"/>
      </w:r>
      <w:r w:rsidR="00FB42A7">
        <w:t xml:space="preserve">, </w:t>
      </w:r>
      <w:r w:rsidR="007A6B12">
        <w:t>exhibit a more nuanced transition of resources from growth to reproduction and have many years of simultaneous growth and reproduction</w:t>
      </w:r>
      <w:r w:rsidR="00A14E06">
        <w:t xml:space="preserve">, </w:t>
      </w:r>
      <w:r w:rsidR="00FB42A7">
        <w:t xml:space="preserve">termed </w:t>
      </w:r>
      <w:r w:rsidR="00A14E06">
        <w:t xml:space="preserve">an iteroparous life history strategy. Moreover, </w:t>
      </w:r>
      <w:r w:rsidR="00FB42A7">
        <w:t xml:space="preserve">they </w:t>
      </w:r>
      <w:r w:rsidR="0071474E">
        <w:t xml:space="preserve">are </w:t>
      </w:r>
      <w:r w:rsidR="00547A4A">
        <w:t xml:space="preserve">considered to </w:t>
      </w:r>
      <w:r w:rsidR="00A14E06">
        <w:t>display indeterminate growth, continuing to increase in size until death.</w:t>
      </w:r>
      <w:r w:rsidR="000C3A09" w:rsidRPr="000C3A09">
        <w:t xml:space="preserve"> </w:t>
      </w:r>
    </w:p>
    <w:p w:rsidR="0071474E" w:rsidRDefault="00D456E0" w:rsidP="0071474E">
      <w:r>
        <w:t xml:space="preserve">Quantifying the lifetime pattern of relative investment in vegetative versus reproductive tissues is a prerequisite to diverse research questions including parameterizing growth models, modelling global energy sinks, and describing what tissue types are present to consumers and decomposers within an ecosystem. Despite the obvious importance of </w:t>
      </w:r>
      <w:r w:rsidR="00FB42A7">
        <w:t>investment patterns</w:t>
      </w:r>
      <w:r>
        <w:t xml:space="preserve">, there </w:t>
      </w:r>
      <w:r w:rsidR="00B26B66">
        <w:t xml:space="preserve">are </w:t>
      </w:r>
      <w:r>
        <w:t xml:space="preserve">a quite limited number of species for which </w:t>
      </w:r>
      <w:r w:rsidR="00FB42A7">
        <w:t xml:space="preserve">we know the </w:t>
      </w:r>
      <w:r>
        <w:t>lifetime energy allocation to reproductive versus vegetative tissues (reviewed in Weiner 2009, Wenk &amp; Falster 2015) and no community-level studies exist.</w:t>
      </w:r>
      <w:r w:rsidR="00596552">
        <w:t xml:space="preserve"> </w:t>
      </w:r>
      <w:r w:rsidR="00E42E8B">
        <w:t xml:space="preserve">Moreover, </w:t>
      </w:r>
      <w:r w:rsidR="0090272C">
        <w:t xml:space="preserve">the studies that do exist </w:t>
      </w:r>
      <w:r w:rsidR="00E42E8B">
        <w:t xml:space="preserve">differ in how energy allocation to vegetative and reproductive tissues is calculated, potentially leading to quite disparate values for tissue investment. </w:t>
      </w:r>
      <w:r w:rsidR="00341F32">
        <w:t xml:space="preserve">As a result of the paucity of data it is difficult to identify if there are trends in </w:t>
      </w:r>
      <w:r w:rsidR="002552CA">
        <w:t>how the</w:t>
      </w:r>
      <w:r w:rsidR="00341F32">
        <w:t xml:space="preserve"> relative investment to different tissue types </w:t>
      </w:r>
      <w:r w:rsidR="002552CA">
        <w:t xml:space="preserve">shifts </w:t>
      </w:r>
      <w:r w:rsidR="00341F32">
        <w:t>across species with different functional traits or within individuals as they grow and age.</w:t>
      </w:r>
    </w:p>
    <w:p w:rsidR="00341F32" w:rsidRDefault="00502BAB" w:rsidP="00ED6D6E">
      <w:r>
        <w:t>In both empirical datasets and theoretical work, t</w:t>
      </w:r>
      <w:r w:rsidR="003E06B6">
        <w:t xml:space="preserve">he growth-reproduction trade-off </w:t>
      </w:r>
      <w:r w:rsidR="00547A4A">
        <w:t xml:space="preserve">is </w:t>
      </w:r>
      <w:r>
        <w:t xml:space="preserve">most frequently </w:t>
      </w:r>
      <w:r w:rsidR="003E06B6">
        <w:t>quantified as r</w:t>
      </w:r>
      <w:r w:rsidR="0017621A">
        <w:t>eproductive allocation (RA)</w:t>
      </w:r>
      <w:r w:rsidR="003E06B6">
        <w:t xml:space="preserve">, </w:t>
      </w:r>
      <w:r w:rsidR="0017621A">
        <w:t>the proportion of surplus energy that is invested in reproduction (versus growth, storage, and defence) in a given year</w:t>
      </w:r>
      <w:r w:rsidR="00547A4A">
        <w:t xml:space="preserve"> </w:t>
      </w:r>
      <w:r w:rsidR="00F37ECE">
        <w:fldChar w:fldCharType="begin"/>
      </w:r>
      <w:r w:rsidR="00F37ECE">
        <w:instrText xml:space="preserve"> ADDIN ZOTERO_ITEM CSL_CITATION {"citationID":"1fo2ru6782","properties":{"formattedCitation":"{\\rtf (Thornley 1972; de Wit 1978; Kozlowski 1992; M\\uc0\\u228{}kel\\uc0\\u228{} 1997)}","plainCitation":"(Thornley 1972; de Wit 1978; Kozlowski 1992; Mäkelä 1997)"},"citationItems":[{"id":1084,"uris":["http://zotero.org/users/503753/items/WUJAKERN"],"uri":["http://zotero.org/users/503753/items/WUJAKERN"],"itemData":{"id":1084,"type":"article-journal","title":"A model to describe the partitioning of photosynthate during vegetative plant growth","container-title":"Annals of Botany","page":"419-430","volume":"36","issue":"2","source":"aob.oxfordjournals.org","abstract":"An approach is described to the problem of modelling quantitatively the partitioning of photosynthate during vegetative plant growth. Two plant processes are important in the scheme: the first of these is the utilization of substrate for growth and how this utilization depends upon substrate concentration, the second concerns the transport of substrate between different plant parts and how this depends upon the substrate concentrations in the plant parts. In both cases simple phenomenological relations have been assumed which seem to be in reasonable accord with experimental data and with more basic theoretical considerations. The model is able to describe some of the features of steady-state vegetative plant growth in a natural manner. The limitations of the present formulation are considered, and the implications of this type of approach for whole-plant models are discussed.","ISSN":"0305-7364, 1095-8290","journalAbbreviation":"Ann Bot","language":"en","author":[{"family":"Thornley","given":"J. H. M."}],"issued":{"date-parts":[["1972",3,1]]}}},{"id":988,"uris":["http://zotero.org/users/503753/items/U6XJQF73"],"uri":["http://zotero.org/users/503753/items/U6XJQF73"],"itemData":{"id":988,"type":"book","title":"Simulation of assimilation, respiration and transpiration of crops","publisher":"Centre for Agricultural Publishing and Documentation","number-of-pages":"156","source":"Google Books","ISBN":"978-90-220-0601-6","language":"en","author":[{"family":"Wit","given":"Cornelis Teunis","non-dropping-particle":"de"}],"issued":{"date-parts":[["1978"]]}}},{"id":974,"uris":["http://zotero.org/users/503753/items/TTXC3SGZ"],"uri":["http://zotero.org/users/503753/items/TTXC3SGZ"],"itemData":{"id":974,"type":"article-journal","title":"Optimal allocation of resources to growth and reproduction: Implications for age and size at maturity","container-title":"Trends in Ecology &amp; Evolution","page":"15-19","volume":"7","issue":"1","source":"ScienceDirect","abstract":"&lt;p&gt;&lt;br/&gt;The schedule of growth and reproduction is crucial to maximization of fitness. Models of optimal allocation of limiting resources are useful tools for predicting age and size at maturity -- key components of fitness -- for all lifestyles. Early models considered annual plants. Recently, they have been generalized to other short-lived organisms and also to perennials in which growth and reproduction schedules following maturation can be predicted. A review of existing models shows that differences in trophic conditions and mortality are the main sources of inter- and intraspecific variation in size.&lt;/p&gt;","DOI":"10.1016/0169-5347(92)90192-E","ISSN":"0169-5347","shortTitle":"Optimal allocation of resources to growth and reproduction","author":[{"family":"Kozlowski","given":"Jan"}],"issued":{"date-parts":[["1992",1]]}}},{"id":660,"uris":["http://zotero.org/users/503753/items/JG7K54NI"],"uri":["http://zotero.org/users/503753/items/JG7K54NI"],"itemData":{"id":660,"type":"article-journal","title":"A carbon balance model of growth and self-pruning in trees based on structural relationships","container-title":"Forest Science","page":"7-24","volume":"43","issue":"1","abstract":"A tree growth model is formulated based on structural relationships in a carbon balance framework. Three relationships are applied: (1) an allometric relationship between crown surface area and foliage area, (2) the principle of functional balance, and (3) the pipe-model theory. These assumptions lead to a model where the sizes of the functional parts of the tree are derivable from foliage weight, except for the pruning height of the crown. This is determined by defining a \"self-pruning coefficient,\" which controls the allocation of growth between height growth and foliage growth. The tree model is applied to an average-tree based stand growth model where both the self-pruning coefficient and tree mortality are made functions of crown coverage. The model is quantified for Scots pine growing in southern Fenno-Scandia. The overall behavior of the model is realistic. The model responds to stocking density through the rate of self-pruning, lower stocking densities leading to larger crown ratios. It also responds to changes in parameters describing site quality in a realistic way, although the differences in stand density are not as large as expected. The predicted development of the biomass compartments in individual trees agrees well with data on dominant Scots pine trees in Finland. For. Sci. 43(1):7-24.","author":[{"family":"Mäkelä","given":"Annikki"}],"issued":{"date-parts":[["1997",2,1]]}}}],"schema":"https://github.com/citation-style-language/schema/raw/master/csl-citation.json"} </w:instrText>
      </w:r>
      <w:r w:rsidR="00F37ECE">
        <w:fldChar w:fldCharType="separate"/>
      </w:r>
      <w:r w:rsidR="00F37ECE" w:rsidRPr="00F37ECE">
        <w:rPr>
          <w:rFonts w:ascii="Calibri" w:hAnsi="Calibri" w:cs="Times New Roman"/>
          <w:szCs w:val="24"/>
        </w:rPr>
        <w:t>(Thornley 1972; de Wit 1978; Kozlowski 1992; Mäkelä 1997)</w:t>
      </w:r>
      <w:r w:rsidR="00F37ECE">
        <w:fldChar w:fldCharType="end"/>
      </w:r>
      <w:r w:rsidR="003E06B6">
        <w:t xml:space="preserve">. </w:t>
      </w:r>
      <w:r w:rsidR="003E06B6" w:rsidRPr="003E06B6">
        <w:rPr>
          <w:i/>
        </w:rPr>
        <w:t>S</w:t>
      </w:r>
      <w:r w:rsidR="0017621A">
        <w:rPr>
          <w:i/>
        </w:rPr>
        <w:t>urplus energy</w:t>
      </w:r>
      <w:r w:rsidR="0017621A">
        <w:t xml:space="preserve"> is defined as the energy remaining</w:t>
      </w:r>
      <w:r w:rsidR="00A054A1">
        <w:t xml:space="preserve"> after </w:t>
      </w:r>
      <w:r>
        <w:t xml:space="preserve">so-called maintenance costs, the energy </w:t>
      </w:r>
      <w:r w:rsidR="00FB42A7">
        <w:t xml:space="preserve">diverted </w:t>
      </w:r>
      <w:r>
        <w:t xml:space="preserve">to replace </w:t>
      </w:r>
      <w:r w:rsidR="00A054A1">
        <w:t xml:space="preserve">shed </w:t>
      </w:r>
      <w:r w:rsidR="00ED6D6E">
        <w:t xml:space="preserve">vegetative </w:t>
      </w:r>
      <w:r w:rsidR="00A054A1">
        <w:t>tissues</w:t>
      </w:r>
      <w:r w:rsidR="0017621A">
        <w:t xml:space="preserve">. </w:t>
      </w:r>
      <w:r w:rsidR="007A257F">
        <w:t xml:space="preserve"> </w:t>
      </w:r>
      <w:r w:rsidR="00341F32">
        <w:t xml:space="preserve">Calculating </w:t>
      </w:r>
      <w:r>
        <w:t xml:space="preserve">RA </w:t>
      </w:r>
      <w:r w:rsidR="00341F32">
        <w:t xml:space="preserve">as a proportion of surplus energy </w:t>
      </w:r>
      <w:r>
        <w:t>makes the implicit assumption that a plant is first investing energy to maintain its current size and then divvying the remaining energy into fractions allocated to growth versus increase</w:t>
      </w:r>
      <w:r w:rsidR="00FB42A7">
        <w:t>d</w:t>
      </w:r>
      <w:r>
        <w:t xml:space="preserve"> vegetative size. </w:t>
      </w:r>
    </w:p>
    <w:p w:rsidR="00341F32" w:rsidRDefault="00ED6D6E" w:rsidP="00341F32">
      <w:r>
        <w:t>A lifetime plot of RA, termed a RA schedule, summarizes the growth-reproduction trade-off as a species grows and ages, showing how the outcome of the trade-off shifts with plant size</w:t>
      </w:r>
      <w:r w:rsidR="002552CA">
        <w:t xml:space="preserve"> or age</w:t>
      </w:r>
      <w:r>
        <w:t>. RA schedules vary notably in shape across species, with some species displaying a distinct asymptotic maximum RA value and others continuing to increase gradually in RA until death. A few species display declining RA schedules, with a decrease in RA among the oldest plants, interpreted as a mechanism for older plants to survive until their habitat becomes more favourable for high reproductive production and growth (refs###). In contrast to these graded RA schedules, b</w:t>
      </w:r>
      <w:r w:rsidR="00351D46">
        <w:t>i</w:t>
      </w:r>
      <w:r>
        <w:t xml:space="preserve">g-bang </w:t>
      </w:r>
      <w:r>
        <w:lastRenderedPageBreak/>
        <w:t xml:space="preserve">species display a sudden year-upon-year transition from investing all surplus energy in growth to reproduction, followed by death within months to a few years. </w:t>
      </w:r>
      <w:r w:rsidR="00BB50BC">
        <w:t xml:space="preserve">For all curves, as RA approaches 1, growth </w:t>
      </w:r>
      <w:r w:rsidR="0090272C">
        <w:t xml:space="preserve">to increase size </w:t>
      </w:r>
      <w:r w:rsidR="00BB50BC">
        <w:t>effectively ceases – the plant is continuing to invest sufficient energy in vegetative tissues to maintain its current stature and leaf area, but not to increase them.</w:t>
      </w:r>
      <w:r w:rsidR="00341F32">
        <w:t xml:space="preserve"> Reproductive investment can also be summarized by reproductive value (RV) curves that plot total yearly reproductiv</w:t>
      </w:r>
      <w:r w:rsidR="0090272C">
        <w:t>e investment against plant size</w:t>
      </w:r>
      <w:r w:rsidR="00341F32">
        <w:t xml:space="preserve"> and show</w:t>
      </w:r>
      <w:r w:rsidR="0090272C">
        <w:t>,</w:t>
      </w:r>
      <w:r w:rsidR="00341F32">
        <w:t xml:space="preserve"> for most perennial species, </w:t>
      </w:r>
      <w:r w:rsidR="0090272C">
        <w:t xml:space="preserve">that </w:t>
      </w:r>
      <w:r w:rsidR="00341F32">
        <w:t xml:space="preserve">reproductive investment increases with plant size, </w:t>
      </w:r>
      <w:proofErr w:type="spellStart"/>
      <w:r w:rsidR="00341F32">
        <w:t>asymptoting</w:t>
      </w:r>
      <w:proofErr w:type="spellEnd"/>
      <w:r w:rsidR="00341F32">
        <w:t xml:space="preserve"> as plant’s age </w:t>
      </w:r>
      <w:r w:rsidR="00341F32">
        <w:fldChar w:fldCharType="begin"/>
      </w:r>
      <w:r w:rsidR="00341F32">
        <w:instrText xml:space="preserve"> ADDIN ZOTERO_ITEM CSL_CITATION {"citationID":"2o8pahti8g","properties":{"formattedCitation":"{\\rtf (Weiner {\\i{}et al.} 2009)}","plainCitation":"(Weiner et al. 2009)"},"citationItems":[{"id":485,"uris":["http://zotero.org/users/503753/items/E5TZKK83"],"uri":["http://zotero.org/users/503753/items/E5TZKK83"],"itemData":{"id":485,"type":"article-journal","title":"The allometry of reproduction within plant populations","container-title":"Journal of Ecology","page":"1220-1233","volume":"97","issue":"6","abstract":"Summary 1.\n The quantitative relationship between size and reproductive output is a central aspect of a plant’s strategy: the conversion of growth into fitness. As plant allocation is allometric in the broad sense, i.e. it changes with size, we take an allometric perspective and review existing data on the relationship between individual vegetative (V, x-axis) and reproductive (R, y-axis) biomass within plant populations, rather than analysing biomass ratios such as reproductive effort (R/(R+V)). 2.\n The allometric relationship between R and V among individuals within a population is most informative when cumulative at senescence (total R–V relationship), as this represents the potential reproductive output of individuals given their biomass. Earlier measurements may be misleading if plants are at different developmental stages and therefore have not achieved the full reproductive output their size permits. Much of the data that have been considered evidence for plasticity in reproductive allometry are actually evidence for plasticity in the rate of growth and development. 3.\n Although a positive x-intercept implies a minimum size for reproducing, a plant can have a threshold size for reproducing without having a positive x-intercept. 4.\n Most of the available data are for annual and monocarpic species whereas allometric data on long-lived iteroparous plants are scarce. We find three common total R–V patterns: short-lived, herbaceous plants and clonal plants usually show a simple, linear relationship, either (i) passing through the origin or (ii) with a positive x-intercept, whereas larger and longer-lived plants often exhibit (iii) classical log–log allometric relationships with slope &lt;1. While the determinants of plant size are numerous and interact with one another, the potential reproductive output of an individual is primarily determined by its size and allometric programme, although this potential is not always achieved. 5.\n Synthesis. The total R–V relationship for a genotype appears to be a relatively fixed-boundary condition. Below this boundary, a plant can increase its reproductive output by: (i) moving towards the boundary: allocating more of its resources to reproduction, or (ii) growing more to increase its potential reproductive output. At the boundary, the plant cannot increase its reproductive output without growing more first. Analysing size-dependent reproduction is the first step in understanding plant reproductive allocation, but more integrative models must include time and environmental cues, i.e. development.","DOI":"10.1111/j.1365-2745.2009.01559.x","ISSN":"1365-2745","author":[{"family":"Weiner","given":"Jacob"},{"family":"Campbell","given":"Lesley G."},{"family":"Pino","given":"Joan"},{"family":"Echarte","given":"Laura"}],"issued":{"date-parts":[["2009"]]}}}],"schema":"https://github.com/citation-style-language/schema/raw/master/csl-citation.json"} </w:instrText>
      </w:r>
      <w:r w:rsidR="00341F32">
        <w:fldChar w:fldCharType="separate"/>
      </w:r>
      <w:r w:rsidR="00341F32" w:rsidRPr="00341F32">
        <w:rPr>
          <w:rFonts w:ascii="Calibri" w:hAnsi="Calibri" w:cs="Times New Roman"/>
          <w:szCs w:val="24"/>
        </w:rPr>
        <w:t xml:space="preserve">(Weiner </w:t>
      </w:r>
      <w:r w:rsidR="00341F32" w:rsidRPr="00341F32">
        <w:rPr>
          <w:rFonts w:ascii="Calibri" w:hAnsi="Calibri" w:cs="Times New Roman"/>
          <w:i/>
          <w:iCs/>
          <w:szCs w:val="24"/>
        </w:rPr>
        <w:t>et al.</w:t>
      </w:r>
      <w:r w:rsidR="00341F32" w:rsidRPr="00341F32">
        <w:rPr>
          <w:rFonts w:ascii="Calibri" w:hAnsi="Calibri" w:cs="Times New Roman"/>
          <w:szCs w:val="24"/>
        </w:rPr>
        <w:t xml:space="preserve"> 2009)</w:t>
      </w:r>
      <w:r w:rsidR="00341F32">
        <w:fldChar w:fldCharType="end"/>
      </w:r>
      <w:r w:rsidR="00341F32">
        <w:t>.</w:t>
      </w:r>
      <w:r w:rsidR="002552CA">
        <w:t xml:space="preserve"> RV curves do not however depict the growth-reproduction trade-off, for they consider a plant’s size not vegetative growth.</w:t>
      </w:r>
    </w:p>
    <w:p w:rsidR="00AC7281" w:rsidRDefault="00AC7281" w:rsidP="00AC7281">
      <w:r>
        <w:t xml:space="preserve">Optimal energy models have explored what factors lead to various graded RA schedules, showing that a gradual shift in resources from growth to reproduction is expected if environmental conditions are stochastic </w:t>
      </w:r>
      <w:r w:rsidRPr="0080171E">
        <w:rPr>
          <w:rFonts w:cs="Times New Roman"/>
        </w:rPr>
        <w:fldChar w:fldCharType="begin"/>
      </w:r>
      <w:r>
        <w:rPr>
          <w:rFonts w:cs="Times New Roman"/>
        </w:rPr>
        <w:instrText xml:space="preserve"> ADDIN ZOTERO_ITEM CSL_CITATION {"citationID":"go39flv5l","properties":{"formattedCitation":"(King &amp; Roughgarden 1982)","plainCitation":"(King &amp; Roughgarden 1982)"},"citationItems":[{"id":473,"uris":["http://zotero.org/users/503753/items/DTZCVT64"],"uri":["http://zotero.org/users/503753/items/DTZCVT64"],"itemData":{"id":473,"type":"article-journal","title":"Graded allocation between vegetative and reproductive growth for annual plants in growing seasons of random length","container-title":"Theoretical Population Biology","page":"1-16","volume":"22","issue":"1","source":"ScienceDirect","abstract":"&lt;p&gt;&lt;br/&gt;Optimal allocation strategies are calculated for annual plants in fluctuating environments using a two-component model of plant growth, in which photosynthate is partitioned between a vegetative and a reproductive component. Previous studies have shown that final reproductive yield is maximized by a sequence of complete switches from purely vegetative to purely reproductive growth in an environment of fixed length. In most cases this final yield is maximized by a single switch. Here we assume that in temporally varying environments natural selection acts to maximize the geometric mean of final yield. We show that the geometric mean of final yield is maximized by a graded allocation strategy that prescribes a mix of vegetative and reproductive growth. Examples of graded optimal allocation strategies are provided.&lt;/p&gt;","DOI":"10.1016/0040-5809(82)90032-6","ISSN":"0040-5809","author":[{"family":"King","given":"David"},{"family":"Roughgarden","given":"Jonathan"}],"issued":{"date-parts":[["1982",8]]}}}],"schema":"https://github.com/citation-style-language/schema/raw/master/csl-citation.json"} </w:instrText>
      </w:r>
      <w:r w:rsidRPr="0080171E">
        <w:rPr>
          <w:rFonts w:cs="Times New Roman"/>
        </w:rPr>
        <w:fldChar w:fldCharType="separate"/>
      </w:r>
      <w:r w:rsidRPr="003F6E27">
        <w:rPr>
          <w:rFonts w:hAnsi="Times New Roman" w:cs="Times New Roman"/>
        </w:rPr>
        <w:t>(King &amp; Roughgarden 1982)</w:t>
      </w:r>
      <w:r w:rsidRPr="0080171E">
        <w:rPr>
          <w:rFonts w:cs="Times New Roman"/>
        </w:rPr>
        <w:fldChar w:fldCharType="end"/>
      </w:r>
      <w:r>
        <w:rPr>
          <w:rFonts w:cs="Times New Roman"/>
        </w:rPr>
        <w:t xml:space="preserve"> or if </w:t>
      </w:r>
      <w:r>
        <w:t xml:space="preserve">the outcome of the growth-reproduction trade-off shifts with a factor that changes across individuals of different age, size, or other variable </w:t>
      </w:r>
      <w:r>
        <w:fldChar w:fldCharType="begin"/>
      </w:r>
      <w:r>
        <w:instrText xml:space="preserve"> ADDIN ZOTERO_ITEM CSL_CITATION {"citationID":"91JOzALo","properties":{"formattedCitation":"(Wenk &amp; Falster 2015)","plainCitation":"(Wenk &amp; Falster 2015)"},"citationItems":[{"id":1993,"uris":["http://zotero.org/users/503753/items/RKCR22GX"],"uri":["http://zotero.org/users/503753/items/RKCR22GX"],"itemData":{"id":1993,"type":"article-journal","title":"Quantifying and understanding reproductive allocation schedules in plants","container-title":"Ecology and Evolution","page":"5521-5538","volume":"5","issue":"23","source":"Wiley Online Library","abstract":"A plant's reproductive allocation (RA) schedule describes the fraction of surplus energy allocated to reproduction as it increases in size. While theorists use RA schedules as the connection between life history and energy allocation, little is known about RA schedules in real vegetation. Here we review what is known about RA schedules for perennial plants using studies either directly quantifying RA or that collected data from which the shape of an RA schedule can be inferred. We also briefly review theoretical models describing factors by which variation in RA may arise. We identified 34 studies from which aspects of an RA schedule could be inferred. Within those, RA schedules varied considerably across species: some species abruptly shift all resources from growth to reproduction; most others gradually shift resources into reproduction, but under a variety of graded schedules. Available data indicate the maximum fraction of energy allocated to production ranges from 0.1 to 1 and that shorter lived species tend to have higher initial RA and increase their RA more quickly than do longer-lived species. Overall, our findings indicate, little data exist about RA schedules in perennial plants. Available data suggest a wide range of schedules across species. Collection of more data on RA schedules would enable a tighter integration between observation and a variety of models predicting optimal energy allocation, plant growth rates, and biogeochemical cycles.","DOI":"10.1002/ece3.1802","ISSN":"2045-7758","journalAbbreviation":"Ecol Evol","language":"en","author":[{"family":"Wenk","given":"Elizabeth Hedi"},{"family":"Falster","given":"Daniel S."}],"issued":{"date-parts":[["2015",12,1]]}}}],"schema":"https://github.com/citation-style-language/schema/raw/master/csl-citation.json"} </w:instrText>
      </w:r>
      <w:r>
        <w:fldChar w:fldCharType="separate"/>
      </w:r>
      <w:r w:rsidRPr="008A4174">
        <w:rPr>
          <w:rFonts w:ascii="Calibri" w:hAnsi="Calibri"/>
        </w:rPr>
        <w:t>(Wenk &amp; Falster 2015)</w:t>
      </w:r>
      <w:r>
        <w:fldChar w:fldCharType="end"/>
      </w:r>
      <w:r w:rsidR="00341F32">
        <w:t>,###refs</w:t>
      </w:r>
      <w:r>
        <w:t>. For instance, if mortality declines with size or size, it is optimal for individuals to invest more modestly in both growth and reproduction across multiple years (###). Declining photosynthetic rates with plant age (###), not being deciduous</w:t>
      </w:r>
      <w:r w:rsidR="00341F32">
        <w:t xml:space="preserve"> (refs###)</w:t>
      </w:r>
      <w:r>
        <w:t>, and relative declines in seed production at higher rates of reproductive investment</w:t>
      </w:r>
      <w:r w:rsidR="00341F32">
        <w:t xml:space="preserve"> </w:t>
      </w:r>
      <w:r w:rsidR="00341F32">
        <w:fldChar w:fldCharType="begin"/>
      </w:r>
      <w:r w:rsidR="00341F32">
        <w:instrText xml:space="preserve"> ADDIN ZOTERO_ITEM CSL_CITATION {"citationID":"b2mcrf5ur","properties":{"formattedCitation":"(Miller, Tenhumberg &amp; Louda 2008)","plainCitation":"(Miller, Tenhumberg &amp; Louda 2008)"},"citationItems":[{"id":52,"uris":["http://zotero.org/groups/37061/items/K9AZHRW6"],"uri":["http://zotero.org/groups/37061/items/K9AZHRW6"],"itemData":{"id":52,"type":"article-journal","title":"Herbivore‐Mediated Ecological Costs of Reproduction Shape the Life History of an Iteroparous Plant.","container-title":"The American Naturalist","page":"141-149","volume":"171","issue":"2","source":"JSTOR","abstract":"&lt;p&gt;Abstract: Plant reproduction yields immediate fitness benefits but can be costly in terms of survival, growth, and future fecundity. Life‐history theory posits that reproductive strategies are shaped by trade‐offs between current and future fitness that result from these direct costs of reproduction. Plant reproduction may also incur indirect ecological costs if it increases susceptibility to herbivores. Yet ecological costs of reproduction have received little empirical attention and remain poorly integrated into life‐history theory. Here, we provide evidence for herbivore‐mediated ecological costs of reproduction, and we develop theory to examine how these costs influence plant life‐history strategies. Field experiments with an iteroparous cactus (Opuntia imbricata) indicated that greater reproductive effort (proportion of meristems allocated to reproduction) led to greater attack by a cactus‐feeding insect (Narnia pallidicornis) and that damage by this herbivore reduced reproductive success. A dynamic programming model predicted strongly divergent optimal reproductive strategies when ecological costs were included, compared with when these costs were ignored. Meristem allocation by cacti in the field matched the optimal strategy expected under ecological costs of reproduction. The results indicate that plant reproductive allocation can strongly influence the intensity of interactions with herbivores and that associated ecological costs can play an important selective role in the evolution of plant life histories.&lt;/p&gt;","ISSN":"00030147","note":"ArticleType: research-article / Full publication date: February 2008 / Copyright © 2008 The University of Chicago Press","author":[{"family":"Miller","given":"Tom E. X."},{"family":"Tenhumberg","given":"Brigitte"},{"family":"Louda","given":"Svata M."}],"issued":{"date-parts":[["2008",2,1]]}}}],"schema":"https://github.com/citation-style-language/schema/raw/master/csl-citation.json"} </w:instrText>
      </w:r>
      <w:r w:rsidR="00341F32">
        <w:fldChar w:fldCharType="separate"/>
      </w:r>
      <w:r w:rsidR="00341F32" w:rsidRPr="00341F32">
        <w:rPr>
          <w:rFonts w:ascii="Calibri" w:hAnsi="Calibri"/>
        </w:rPr>
        <w:t>(Miller, Tenhumberg &amp; Louda 2008)</w:t>
      </w:r>
      <w:r w:rsidR="00341F32">
        <w:fldChar w:fldCharType="end"/>
      </w:r>
      <w:r>
        <w:t xml:space="preserve"> have also been investigated as factors leading to simultaneous investment in growth and reproduction across multiple growing seasons. These theoretical explorations </w:t>
      </w:r>
      <w:r w:rsidR="0019366B">
        <w:t>indicate</w:t>
      </w:r>
      <w:r>
        <w:t xml:space="preserve"> that the shape of the RA schedule, age at reproductive maturity and the maximum RA achieved reflect species</w:t>
      </w:r>
      <w:r w:rsidR="0019366B">
        <w:t>’</w:t>
      </w:r>
      <w:r>
        <w:t xml:space="preserve"> life history strategies </w:t>
      </w:r>
      <w:r w:rsidR="0019366B">
        <w:t xml:space="preserve">(e.g. mortality, seed production) </w:t>
      </w:r>
      <w:r>
        <w:t xml:space="preserve">and </w:t>
      </w:r>
      <w:r w:rsidR="0019366B">
        <w:t xml:space="preserve">key </w:t>
      </w:r>
      <w:r>
        <w:t>functional trait values</w:t>
      </w:r>
      <w:r w:rsidR="0019366B">
        <w:t xml:space="preserve"> (e.g.</w:t>
      </w:r>
      <w:r>
        <w:t xml:space="preserve"> leaf lifespan, </w:t>
      </w:r>
      <w:r w:rsidR="0019366B">
        <w:t>photosynthetic capacity, height, seed size)</w:t>
      </w:r>
    </w:p>
    <w:p w:rsidR="006C65C4" w:rsidRDefault="0019366B" w:rsidP="00FD5BB5">
      <w:r>
        <w:t>M</w:t>
      </w:r>
      <w:r w:rsidR="00BC6580">
        <w:t xml:space="preserve">odels have shown that RA is a sound way to illustrate the growth-reproduction trade-off, but </w:t>
      </w:r>
      <w:r w:rsidR="002552CA">
        <w:t xml:space="preserve">they do not consider </w:t>
      </w:r>
      <w:r w:rsidR="00BC6580">
        <w:t xml:space="preserve">how </w:t>
      </w:r>
      <w:r w:rsidR="002552CA">
        <w:t xml:space="preserve">the </w:t>
      </w:r>
      <w:r w:rsidR="00A340BD">
        <w:t>proportion of energy dedicated to tissue replacement versus surplus energy shifts</w:t>
      </w:r>
      <w:r w:rsidR="00BC6580">
        <w:t xml:space="preserve"> across or within species</w:t>
      </w:r>
      <w:r w:rsidR="001B2262">
        <w:t xml:space="preserve"> and </w:t>
      </w:r>
      <w:r w:rsidR="006C65C4">
        <w:t xml:space="preserve">how this impacts reproductive investment and in turn </w:t>
      </w:r>
      <w:r w:rsidR="001B2262">
        <w:t>RA</w:t>
      </w:r>
      <w:r w:rsidR="00BC6580">
        <w:t xml:space="preserve">. Plant traits and plant size (or age) will impact the size of the surplus energy pool, by impacting </w:t>
      </w:r>
      <w:r w:rsidR="001B2262">
        <w:t xml:space="preserve">net primary production (NPP) and </w:t>
      </w:r>
      <w:r w:rsidR="00BC6580">
        <w:t>tissue replacement</w:t>
      </w:r>
      <w:r w:rsidR="006C65C4">
        <w:t xml:space="preserve"> costs</w:t>
      </w:r>
      <w:r w:rsidR="00BC6580">
        <w:t>.</w:t>
      </w:r>
      <w:r w:rsidR="00FD5BB5">
        <w:t xml:space="preserve"> Indeed,</w:t>
      </w:r>
      <w:r w:rsidR="008820E7">
        <w:t xml:space="preserve"> larger plants </w:t>
      </w:r>
      <w:r w:rsidR="00ED6D6E">
        <w:t xml:space="preserve">face an increasing cost of </w:t>
      </w:r>
      <w:r w:rsidR="00266B46">
        <w:t>replacing shed tissues and leaves</w:t>
      </w:r>
      <w:r w:rsidR="00ED6D6E">
        <w:t>, on an absolute and often proportional basis</w:t>
      </w:r>
      <w:r w:rsidR="00FD5BB5">
        <w:t xml:space="preserve">, as their ever-larger canopy of leaves and </w:t>
      </w:r>
      <w:r w:rsidR="0070388E">
        <w:t xml:space="preserve">framework </w:t>
      </w:r>
      <w:r w:rsidR="00FD5BB5">
        <w:t>of branches shed and need to be replaced</w:t>
      </w:r>
      <w:r w:rsidR="008820E7">
        <w:t xml:space="preserve">. </w:t>
      </w:r>
      <w:r w:rsidR="001B2262">
        <w:t xml:space="preserve">In addition, </w:t>
      </w:r>
      <w:r w:rsidR="0090272C">
        <w:t xml:space="preserve">the </w:t>
      </w:r>
      <w:r w:rsidR="0090272C">
        <w:t>observed decline in photosynthetic rates with age (refs###) will decrease NPP relative to leaf area</w:t>
      </w:r>
      <w:r w:rsidR="0090272C">
        <w:t xml:space="preserve">, leading to a relative decrease in the surplus energy pool. Variation in the relative size of the surplus energy pool is also expected across species. For instance, </w:t>
      </w:r>
      <w:r w:rsidR="007E016E">
        <w:t>s</w:t>
      </w:r>
      <w:r w:rsidR="001B2262">
        <w:t xml:space="preserve">pecies </w:t>
      </w:r>
      <w:r w:rsidR="00BB50BC">
        <w:t>with short leaf lifespans must invest a large</w:t>
      </w:r>
      <w:r w:rsidR="00351D46">
        <w:t>r</w:t>
      </w:r>
      <w:r w:rsidR="00BB50BC">
        <w:t xml:space="preserve"> proportion of </w:t>
      </w:r>
      <w:r w:rsidR="001B2262">
        <w:t xml:space="preserve">NPP </w:t>
      </w:r>
      <w:r w:rsidR="00BB50BC">
        <w:t xml:space="preserve">in leaf replacement, leaving </w:t>
      </w:r>
      <w:r w:rsidR="00351D46">
        <w:t xml:space="preserve">a relatively </w:t>
      </w:r>
      <w:r w:rsidR="00BB50BC">
        <w:t xml:space="preserve">smaller pool of surplus energy (refs###).  </w:t>
      </w:r>
    </w:p>
    <w:p w:rsidR="0090272C" w:rsidRDefault="0090272C" w:rsidP="00FD5BB5">
      <w:r>
        <w:t xml:space="preserve">----------- </w:t>
      </w:r>
      <w:r w:rsidR="009263C4">
        <w:t>NOT HAPPY WITH TEXT BELOW HERE----------------------</w:t>
      </w:r>
    </w:p>
    <w:p w:rsidR="00BB50BC" w:rsidRDefault="0070388E" w:rsidP="00253A53">
      <w:r>
        <w:t xml:space="preserve">Overall, if the proportion of </w:t>
      </w:r>
      <w:r w:rsidR="001B2262">
        <w:t xml:space="preserve">NPP </w:t>
      </w:r>
      <w:r>
        <w:t xml:space="preserve">going to maintenance costs increases </w:t>
      </w:r>
      <w:r w:rsidR="00C569BB">
        <w:t>sharply with age</w:t>
      </w:r>
      <w:r w:rsidR="00253A53">
        <w:t xml:space="preserve"> or NPP does not keep pace with increases in leaf area and stem architecture</w:t>
      </w:r>
      <w:r w:rsidR="00C569BB">
        <w:t xml:space="preserve">, the surplus energy pool may rapidly asymptote – or even decline – impacting growth, reproductive investment, and </w:t>
      </w:r>
      <w:r w:rsidR="001B2262">
        <w:t xml:space="preserve">potentially </w:t>
      </w:r>
      <w:r w:rsidR="00C569BB">
        <w:t xml:space="preserve">RA. </w:t>
      </w:r>
      <w:r w:rsidR="00AC7281">
        <w:t xml:space="preserve">RV curves suggest that although reproductive investment plateaus with plant size, it </w:t>
      </w:r>
      <w:r w:rsidR="007E016E">
        <w:t xml:space="preserve">rarely </w:t>
      </w:r>
      <w:r w:rsidR="00AC7281">
        <w:t>decline</w:t>
      </w:r>
      <w:r w:rsidR="007E016E">
        <w:t>s</w:t>
      </w:r>
      <w:r w:rsidR="006C65C4">
        <w:t xml:space="preserve">. In addition to the outcome of the growth-reproduction trade-off this reflects simple </w:t>
      </w:r>
      <w:proofErr w:type="spellStart"/>
      <w:r w:rsidR="006C65C4">
        <w:t>allometric</w:t>
      </w:r>
      <w:proofErr w:type="spellEnd"/>
      <w:r w:rsidR="006C65C4">
        <w:t xml:space="preserve"> constraints for many species: the number of buds initiated is often closely linked with the deployment of leaves. Since </w:t>
      </w:r>
      <w:r w:rsidR="00AB4E1F">
        <w:t xml:space="preserve">flowers to the point of pollination can account for the majority of reproductive investment (refs###), many species reproductive investment will be closely linked to investment in vegetative growth, both maintenance costs and new growth. </w:t>
      </w:r>
      <w:r w:rsidR="00253A53">
        <w:t xml:space="preserve">The increasing maintenance costs and reproductive investment, suggest that the </w:t>
      </w:r>
      <w:r w:rsidR="00FB2CEE">
        <w:t xml:space="preserve">pool of energy available for </w:t>
      </w:r>
      <w:r w:rsidR="00FB2CEE">
        <w:lastRenderedPageBreak/>
        <w:t xml:space="preserve">vegetative growth </w:t>
      </w:r>
      <w:r w:rsidR="00253A53">
        <w:t xml:space="preserve">to increase plant size </w:t>
      </w:r>
      <w:r w:rsidR="00FB2CEE">
        <w:t>may</w:t>
      </w:r>
      <w:r w:rsidR="006C65C4">
        <w:t xml:space="preserve"> </w:t>
      </w:r>
      <w:r w:rsidR="00FB2CEE">
        <w:t xml:space="preserve">be severely curtailed long before a plant approaches its </w:t>
      </w:r>
      <w:r w:rsidR="007E016E">
        <w:t>end-of-life</w:t>
      </w:r>
      <w:r w:rsidR="006C65C4">
        <w:t>.</w:t>
      </w:r>
    </w:p>
    <w:p w:rsidR="009263C4" w:rsidRDefault="009263C4" w:rsidP="009263C4">
      <w:pPr>
        <w:pStyle w:val="ListParagraph"/>
        <w:numPr>
          <w:ilvl w:val="0"/>
          <w:numId w:val="8"/>
        </w:numPr>
      </w:pPr>
      <w:r>
        <w:t>PROBABLY NEED A PARAGRAPH LISTING SOME INFORMATION ON WHAT DIFFERENCES WE EXPECT ACROSS SPECIES. RIGHT NOW JUST INCLUDED IN HYPOTHESES</w:t>
      </w:r>
    </w:p>
    <w:p w:rsidR="00D27654" w:rsidRDefault="007E016E">
      <w:r>
        <w:t xml:space="preserve">Determining </w:t>
      </w:r>
      <w:r w:rsidR="00936245">
        <w:t xml:space="preserve">how species differ in their energy investment </w:t>
      </w:r>
      <w:r>
        <w:t xml:space="preserve">to key </w:t>
      </w:r>
      <w:r w:rsidR="00936245">
        <w:t>tissue pools</w:t>
      </w:r>
      <w:r>
        <w:t>, vegetative maintenance costs, vegetative growth, and reproductive investment</w:t>
      </w:r>
      <w:r w:rsidR="00D27654">
        <w:t>,</w:t>
      </w:r>
      <w:r>
        <w:t xml:space="preserve"> is necessary to u</w:t>
      </w:r>
      <w:r w:rsidR="00D27654">
        <w:t xml:space="preserve">nderstanding why </w:t>
      </w:r>
      <w:r w:rsidR="00253A53">
        <w:t xml:space="preserve">a given </w:t>
      </w:r>
      <w:r w:rsidR="00D27654">
        <w:t xml:space="preserve">photosynthetic yield translates differently to plant height, leaf area, and seed production across species. We </w:t>
      </w:r>
      <w:r w:rsidR="00253A53">
        <w:t xml:space="preserve">suggest </w:t>
      </w:r>
      <w:r w:rsidR="00D27654">
        <w:t xml:space="preserve">that different investment patterns and growth-reproduction trade-off outcomes reflect consistent differences in life history strategies and key functional trait values. In particular, we hypothesize that </w:t>
      </w:r>
    </w:p>
    <w:p w:rsidR="00F72A60" w:rsidRDefault="00253A53" w:rsidP="00757124">
      <w:pPr>
        <w:pStyle w:val="ListParagraph"/>
        <w:numPr>
          <w:ilvl w:val="0"/>
          <w:numId w:val="4"/>
        </w:numPr>
      </w:pPr>
      <w:r>
        <w:t>P</w:t>
      </w:r>
      <w:r w:rsidR="00785C27">
        <w:t xml:space="preserve">roportional </w:t>
      </w:r>
      <w:r w:rsidR="00F72A60">
        <w:t>energy investment into vegetative tissue replacement, vegetative tissue growth, and reproductive tissue inv</w:t>
      </w:r>
      <w:r>
        <w:t>estment shift</w:t>
      </w:r>
      <w:r w:rsidR="009263C4">
        <w:t>s</w:t>
      </w:r>
      <w:r>
        <w:t xml:space="preserve"> as a species ages, such that:</w:t>
      </w:r>
    </w:p>
    <w:p w:rsidR="00D27654" w:rsidRDefault="009263C4" w:rsidP="00F72A60">
      <w:pPr>
        <w:pStyle w:val="ListParagraph"/>
        <w:numPr>
          <w:ilvl w:val="1"/>
          <w:numId w:val="4"/>
        </w:numPr>
      </w:pPr>
      <w:r>
        <w:t>T</w:t>
      </w:r>
      <w:r w:rsidR="00D27654">
        <w:t xml:space="preserve">he proportion of NPP attributed </w:t>
      </w:r>
      <w:r>
        <w:t>to</w:t>
      </w:r>
      <w:r w:rsidR="00D27654">
        <w:t xml:space="preserve"> surplus energy </w:t>
      </w:r>
      <w:r>
        <w:t xml:space="preserve">asymptotes or </w:t>
      </w:r>
      <w:r w:rsidR="00D27654">
        <w:t>decline</w:t>
      </w:r>
      <w:r>
        <w:t>s with age.</w:t>
      </w:r>
    </w:p>
    <w:p w:rsidR="009263C4" w:rsidRDefault="009263C4" w:rsidP="009263C4">
      <w:pPr>
        <w:pStyle w:val="ListParagraph"/>
        <w:numPr>
          <w:ilvl w:val="1"/>
          <w:numId w:val="4"/>
        </w:numPr>
      </w:pPr>
      <w:r>
        <w:t>That reproductive</w:t>
      </w:r>
      <w:r>
        <w:t xml:space="preserve"> investment </w:t>
      </w:r>
      <w:r>
        <w:t>will be sufficiently high to impact growth to increase size well before the end of a plant’s life.</w:t>
      </w:r>
    </w:p>
    <w:p w:rsidR="009263C4" w:rsidRDefault="009263C4" w:rsidP="009263C4">
      <w:pPr>
        <w:pStyle w:val="ListParagraph"/>
        <w:numPr>
          <w:ilvl w:val="0"/>
          <w:numId w:val="4"/>
        </w:numPr>
      </w:pPr>
      <w:r>
        <w:t xml:space="preserve">That species will exhibit </w:t>
      </w:r>
      <w:r>
        <w:t xml:space="preserve">different RA schedules and the observed RA schedules </w:t>
      </w:r>
      <w:r>
        <w:t xml:space="preserve">will </w:t>
      </w:r>
      <w:r>
        <w:t>correlate with other life history data</w:t>
      </w:r>
      <w:r>
        <w:t xml:space="preserve">, such as </w:t>
      </w:r>
      <w:r>
        <w:t xml:space="preserve">lifespan, height, </w:t>
      </w:r>
      <w:r>
        <w:t>and age at first reproduction. In particular:</w:t>
      </w:r>
    </w:p>
    <w:p w:rsidR="009263C4" w:rsidRDefault="009263C4" w:rsidP="009263C4">
      <w:pPr>
        <w:pStyle w:val="ListParagraph"/>
        <w:numPr>
          <w:ilvl w:val="1"/>
          <w:numId w:val="4"/>
        </w:numPr>
      </w:pPr>
      <w:r>
        <w:t>Shorter lived species will show a more rapid onset of reproduction and higher maximum RA.</w:t>
      </w:r>
    </w:p>
    <w:p w:rsidR="00F72A60" w:rsidRDefault="009263C4" w:rsidP="00757124">
      <w:pPr>
        <w:pStyle w:val="ListParagraph"/>
        <w:numPr>
          <w:ilvl w:val="0"/>
          <w:numId w:val="4"/>
        </w:numPr>
      </w:pPr>
      <w:r>
        <w:t>K</w:t>
      </w:r>
      <w:r w:rsidR="00624F81">
        <w:t xml:space="preserve">ey RA schedule values, such as </w:t>
      </w:r>
      <w:bookmarkStart w:id="0" w:name="_GoBack"/>
      <w:r w:rsidR="00624F81">
        <w:t xml:space="preserve">maximum </w:t>
      </w:r>
      <w:bookmarkEnd w:id="0"/>
      <w:r w:rsidR="00624F81">
        <w:t>RA an</w:t>
      </w:r>
      <w:r>
        <w:t>d age at reproductive maturity correlate with functional trait values.</w:t>
      </w:r>
    </w:p>
    <w:p w:rsidR="007047BC" w:rsidRDefault="007047BC" w:rsidP="007047BC">
      <w:r>
        <w:t>To address these questions we conducted a study in coastal heathland in eastern Australia, quantifying RA and vegetative maintenance costs for 14 dominant perennial species at 6 ages. These species differ for a collection of key life history and functional traits, including lifespan, maximum height, specific leaf area, wood density, and leaf nitrogen content. These species are also known to be iteroparous.</w:t>
      </w:r>
    </w:p>
    <w:p w:rsidR="00C95032" w:rsidRDefault="00C95032" w:rsidP="00E401CD">
      <w:pPr>
        <w:pStyle w:val="Heading1"/>
      </w:pPr>
      <w:r>
        <w:t>Methods</w:t>
      </w:r>
    </w:p>
    <w:p w:rsidR="00E401CD" w:rsidRDefault="00E401CD" w:rsidP="00E401CD">
      <w:pPr>
        <w:pStyle w:val="Heading2"/>
      </w:pPr>
      <w:r>
        <w:t>Study system</w:t>
      </w:r>
    </w:p>
    <w:p w:rsidR="00E401CD" w:rsidRDefault="00E401CD" w:rsidP="00E401CD">
      <w:r>
        <w:tab/>
        <w:t xml:space="preserve">This study was carried out in </w:t>
      </w:r>
      <w:proofErr w:type="spellStart"/>
      <w:r>
        <w:t>Kuring’gai</w:t>
      </w:r>
      <w:proofErr w:type="spellEnd"/>
      <w:r>
        <w:t xml:space="preserve"> National Park, just to the northeast of Sydney, Australia. </w:t>
      </w:r>
    </w:p>
    <w:p w:rsidR="00E401CD" w:rsidRDefault="00E401CD"/>
    <w:p w:rsidR="00E401CD" w:rsidRDefault="00E401CD" w:rsidP="00E401CD">
      <w:pPr>
        <w:pStyle w:val="ListParagraph"/>
        <w:numPr>
          <w:ilvl w:val="0"/>
          <w:numId w:val="1"/>
        </w:numPr>
      </w:pPr>
      <w:r>
        <w:t>Field Methods</w:t>
      </w:r>
    </w:p>
    <w:p w:rsidR="00E401CD" w:rsidRDefault="00E401CD" w:rsidP="00E401CD">
      <w:pPr>
        <w:pStyle w:val="ListParagraph"/>
        <w:numPr>
          <w:ilvl w:val="1"/>
          <w:numId w:val="1"/>
        </w:numPr>
      </w:pPr>
    </w:p>
    <w:p w:rsidR="00E401CD" w:rsidRDefault="00E401CD" w:rsidP="00E401CD">
      <w:pPr>
        <w:pStyle w:val="ListParagraph"/>
        <w:numPr>
          <w:ilvl w:val="0"/>
          <w:numId w:val="1"/>
        </w:numPr>
      </w:pPr>
      <w:r>
        <w:t>calculating RA based only on leaf investment and reproductive investment</w:t>
      </w:r>
    </w:p>
    <w:p w:rsidR="00E401CD" w:rsidRDefault="00E401CD" w:rsidP="00E401CD">
      <w:pPr>
        <w:pStyle w:val="ListParagraph"/>
        <w:numPr>
          <w:ilvl w:val="1"/>
          <w:numId w:val="1"/>
        </w:numPr>
      </w:pPr>
      <w:proofErr w:type="gramStart"/>
      <w:r>
        <w:t>including</w:t>
      </w:r>
      <w:proofErr w:type="gramEnd"/>
      <w:r>
        <w:t xml:space="preserve"> stem weight would cause RA to decrease dramatically for most species, because actual stem diameters and weights must continue to increase each year that any shoot growth occurs, even though the volume of functional wood (sapwood) may be stable or declining. </w:t>
      </w:r>
    </w:p>
    <w:p w:rsidR="0070388E" w:rsidRDefault="0070388E" w:rsidP="0070388E">
      <w:pPr>
        <w:pStyle w:val="ListParagraph"/>
        <w:numPr>
          <w:ilvl w:val="0"/>
          <w:numId w:val="1"/>
        </w:numPr>
      </w:pPr>
      <w:r>
        <w:t xml:space="preserve">We focus on the division of energy investment into leaf replacement, leaf growth, and reproduction, for two reasons. First, </w:t>
      </w:r>
      <w:r w:rsidR="00D279A7">
        <w:t xml:space="preserve">leaf mass is a much between predictor of the following year’s total production than is the total standing biomass of the plant. This is because much of the stem biomass is functionally dead heartwood. The mass of heartwood increases ### each year, ###. We are unable to divide the yearly increase in stem biomass into the </w:t>
      </w:r>
      <w:r w:rsidR="00D279A7">
        <w:lastRenderedPageBreak/>
        <w:t xml:space="preserve">incremental increase in sapwood versus heartwood. The increase in sapwood mass should reflect the increased </w:t>
      </w:r>
    </w:p>
    <w:p w:rsidR="00C95032" w:rsidRDefault="00C95032" w:rsidP="00C306E1">
      <w:pPr>
        <w:pStyle w:val="Heading1"/>
      </w:pPr>
      <w:r>
        <w:t>Results</w:t>
      </w:r>
    </w:p>
    <w:p w:rsidR="00C306E1" w:rsidRDefault="00C306E1" w:rsidP="00C306E1">
      <w:pPr>
        <w:pStyle w:val="ListParagraph"/>
        <w:numPr>
          <w:ilvl w:val="0"/>
          <w:numId w:val="6"/>
        </w:numPr>
      </w:pPr>
      <w:r>
        <w:t>diverse RA values across species (Figure 1a)</w:t>
      </w:r>
    </w:p>
    <w:p w:rsidR="00C306E1" w:rsidRDefault="00C306E1" w:rsidP="00C306E1">
      <w:pPr>
        <w:pStyle w:val="ListParagraph"/>
        <w:numPr>
          <w:ilvl w:val="0"/>
          <w:numId w:val="6"/>
        </w:numPr>
      </w:pPr>
      <w:r>
        <w:t>all species show increase in RA with age (Figure 1b)</w:t>
      </w:r>
    </w:p>
    <w:p w:rsidR="00C306E1" w:rsidRDefault="00C306E1" w:rsidP="00C306E1">
      <w:pPr>
        <w:pStyle w:val="ListParagraph"/>
        <w:numPr>
          <w:ilvl w:val="0"/>
          <w:numId w:val="6"/>
        </w:numPr>
      </w:pPr>
      <w:r>
        <w:t>diverse RA schedules</w:t>
      </w:r>
      <w:r w:rsidR="00CD7DC7">
        <w:t xml:space="preserve"> across species – fit into predicted categories, some determinate others indeterminate</w:t>
      </w:r>
      <w:r>
        <w:t xml:space="preserve"> (Figure 2)</w:t>
      </w:r>
    </w:p>
    <w:p w:rsidR="00C306E1" w:rsidRDefault="00C306E1" w:rsidP="00C306E1">
      <w:pPr>
        <w:pStyle w:val="ListParagraph"/>
        <w:numPr>
          <w:ilvl w:val="0"/>
          <w:numId w:val="6"/>
        </w:numPr>
      </w:pPr>
      <w:r>
        <w:t>declining leaf area</w:t>
      </w:r>
      <w:r w:rsidR="00EF05D4">
        <w:t xml:space="preserve"> in many species; others plateau; a few keep increasing</w:t>
      </w:r>
      <w:r>
        <w:t xml:space="preserve"> (Figure 3)</w:t>
      </w:r>
    </w:p>
    <w:p w:rsidR="000D04B0" w:rsidRDefault="000D04B0" w:rsidP="00C306E1">
      <w:pPr>
        <w:pStyle w:val="ListParagraph"/>
        <w:numPr>
          <w:ilvl w:val="0"/>
          <w:numId w:val="6"/>
        </w:numPr>
      </w:pPr>
      <w:r>
        <w:t xml:space="preserve">initial leaf weight is a good predictor of NPP </w:t>
      </w:r>
    </w:p>
    <w:p w:rsidR="005E0B93" w:rsidRDefault="005E0B93" w:rsidP="00C306E1">
      <w:pPr>
        <w:pStyle w:val="ListParagraph"/>
        <w:numPr>
          <w:ilvl w:val="0"/>
          <w:numId w:val="6"/>
        </w:numPr>
      </w:pPr>
      <w:r>
        <w:t>Only for long-lived species is surplus energy strongly correlated with leaf_weight -  and even for these species NPP and total leaf investment much more strongly correlated, because of strong correlations between maintenance and leaf_weight and the huge size of the maintenance pool</w:t>
      </w:r>
    </w:p>
    <w:p w:rsidR="00EF009E" w:rsidRDefault="00BD5089" w:rsidP="00C306E1">
      <w:pPr>
        <w:pStyle w:val="ListParagraph"/>
        <w:numPr>
          <w:ilvl w:val="0"/>
          <w:numId w:val="6"/>
        </w:numPr>
      </w:pPr>
      <w:r>
        <w:t>For 10 of the 14 species, initial leaf weight is significantly correlated with the number of ovules initiated (</w:t>
      </w:r>
      <w:proofErr w:type="spellStart"/>
      <w:r>
        <w:t>Supp</w:t>
      </w:r>
      <w:proofErr w:type="spellEnd"/>
      <w:r>
        <w:t xml:space="preserve"> Material, r</w:t>
      </w:r>
      <w:r>
        <w:rPr>
          <w:vertAlign w:val="superscript"/>
        </w:rPr>
        <w:t>2</w:t>
      </w:r>
      <w:r>
        <w:t>&gt;0.3 for these species). Indeed, this measure of plant size was a better predictor of the number of ovules initiated than was the total investment in new leaves, both those replacing shed material and those increasingly a plant’s leaf area</w:t>
      </w:r>
    </w:p>
    <w:p w:rsidR="00F16B6A" w:rsidRDefault="00443CD1">
      <w:r>
        <w:t>At the broadest level, a</w:t>
      </w:r>
      <w:r w:rsidR="00C95032">
        <w:t>ll species display a fundamentally identical trajectory of investment in leaves versus reproductive tissues as they grow and age</w:t>
      </w:r>
      <w:r>
        <w:t>: as</w:t>
      </w:r>
      <w:r w:rsidR="00C95032">
        <w:t xml:space="preserve"> seedlings and saplings they invest solely in stem and leaf growth, increasing rapidly in height and leaf area. </w:t>
      </w:r>
      <w:r>
        <w:t xml:space="preserve">They have high shoot extension rates and consequently high increase in leaf area per shoot. </w:t>
      </w:r>
      <w:r w:rsidR="00C95032">
        <w:t xml:space="preserve">At some age, notably different across the study species, plants reach reproductive maturity. As the plants initiate investment in reproductive material and </w:t>
      </w:r>
      <w:r w:rsidR="007B5320">
        <w:t xml:space="preserve">subsequently </w:t>
      </w:r>
      <w:r w:rsidR="00C95032">
        <w:t>increase allocation to reproduction</w:t>
      </w:r>
      <w:r>
        <w:t xml:space="preserve">, </w:t>
      </w:r>
      <w:r w:rsidR="00C95032">
        <w:t xml:space="preserve">they all show a marked decline in relative investment in leaf growth. </w:t>
      </w:r>
      <w:r w:rsidR="007B5320">
        <w:t xml:space="preserve">Indeed, all plants exhibit a cross-over in absolute investment in increased leaf area versus year reproductive production across their lifetime. Notably, for ten of the 14 species, total leaf area declines year-upon-year starting at some age. That is, these species have negative leaf growth for part of their lifetime, cannibalizing </w:t>
      </w:r>
      <w:r w:rsidR="00C86540">
        <w:t>existing leaf area to increase investment</w:t>
      </w:r>
      <w:r w:rsidR="007B5320">
        <w:t xml:space="preserve"> in reproduction, as they fail to replace all leaves shed during the year. </w:t>
      </w:r>
    </w:p>
    <w:p w:rsidR="00443CD1" w:rsidRDefault="00443CD1">
      <w:r>
        <w:t>Although all study species broadly follow the same lifetime developmental pathway of investing first in height and leaf growth and later in reproduction</w:t>
      </w:r>
      <w:r w:rsidR="00F123A9">
        <w:t>, the magnitude and timing of their investment in different tissues types is diverse. Figure 1 plots investment in leaves versus reproductive materials for all study individuals</w:t>
      </w:r>
      <w:r w:rsidR="004B53F8">
        <w:t>, illustrating that different individuals of a species have notably different RA values. Across species (Figure 1a), individuals have different absolute investment in both leaves and reproductive materials, reflecting size differences across the study species, but broadly all have similar RA ranges. When the same data are plotted by the age of the individual (Figure 1b), a quite different pattern becomes apparent: Younger individuals have quite modest RA values, while RA values exceed 0.75 and approach 1 fo</w:t>
      </w:r>
      <w:r w:rsidR="00757124">
        <w:t>r many of the oldest individuals studied, indicating they are investing all available resources in reproduction.</w:t>
      </w:r>
    </w:p>
    <w:p w:rsidR="00A054A1" w:rsidRDefault="00D05870">
      <w:r>
        <w:t xml:space="preserve">The RA schedules for the 14 species suggest that the species have disparate life history strategies. </w:t>
      </w:r>
      <w:r w:rsidR="00A054A1">
        <w:t xml:space="preserve">Species RA schedules fall into five of the six curve types proposed: </w:t>
      </w:r>
      <w:r w:rsidR="00A054A1" w:rsidRPr="00A054A1">
        <w:t>big bang, asymptotic, gradual-determinate, gradual-indeterminate, and declining.</w:t>
      </w:r>
    </w:p>
    <w:p w:rsidR="00757124" w:rsidRDefault="00757124">
      <w:r>
        <w:t xml:space="preserve">Different study species show different leaf area trajectories with age (Figure 3). </w:t>
      </w:r>
    </w:p>
    <w:p w:rsidR="00A054A1" w:rsidRDefault="00A054A1"/>
    <w:p w:rsidR="00A054A1" w:rsidRDefault="00A054A1" w:rsidP="004B53F8">
      <w:pPr>
        <w:pStyle w:val="Heading1"/>
      </w:pPr>
      <w:r>
        <w:lastRenderedPageBreak/>
        <w:t>Discussion</w:t>
      </w:r>
    </w:p>
    <w:p w:rsidR="00C569BB" w:rsidRDefault="00C569BB" w:rsidP="00A054A1">
      <w:pPr>
        <w:pStyle w:val="ListParagraph"/>
        <w:numPr>
          <w:ilvl w:val="0"/>
          <w:numId w:val="3"/>
        </w:numPr>
      </w:pPr>
      <w:r>
        <w:t>For almost all species height continues to increases throughout life</w:t>
      </w:r>
      <w:proofErr w:type="gramStart"/>
      <w:r>
        <w:t>,  but</w:t>
      </w:r>
      <w:proofErr w:type="gramEnd"/>
      <w:r>
        <w:t xml:space="preserve"> for most species leaf area asymptotes within a few years of reproductive maturity and often declines for several years before an individual’s death.</w:t>
      </w:r>
    </w:p>
    <w:p w:rsidR="00CC215D" w:rsidRDefault="00CC215D" w:rsidP="00A054A1">
      <w:pPr>
        <w:pStyle w:val="ListParagraph"/>
        <w:numPr>
          <w:ilvl w:val="0"/>
          <w:numId w:val="3"/>
        </w:numPr>
      </w:pPr>
      <w:r>
        <w:t>Declining leaf area with age/size</w:t>
      </w:r>
    </w:p>
    <w:p w:rsidR="00A054A1" w:rsidRDefault="00A054A1" w:rsidP="00CC215D">
      <w:pPr>
        <w:pStyle w:val="ListParagraph"/>
        <w:numPr>
          <w:ilvl w:val="1"/>
          <w:numId w:val="3"/>
        </w:numPr>
      </w:pPr>
      <w:proofErr w:type="gramStart"/>
      <w:r>
        <w:t>notable</w:t>
      </w:r>
      <w:proofErr w:type="gramEnd"/>
      <w:r>
        <w:t xml:space="preserve"> how many species show a decline in leaf area within a year of initiating reproduction.</w:t>
      </w:r>
    </w:p>
    <w:p w:rsidR="00A054A1" w:rsidRDefault="00A054A1" w:rsidP="00CC215D">
      <w:pPr>
        <w:pStyle w:val="ListParagraph"/>
        <w:numPr>
          <w:ilvl w:val="2"/>
          <w:numId w:val="3"/>
        </w:numPr>
      </w:pPr>
      <w:r>
        <w:t>These species display a bang-bang schedule, but continue to survive for a number of year’s post reproductive onset, just with a continued year-upon-year decline in leaf area.</w:t>
      </w:r>
    </w:p>
    <w:p w:rsidR="00A054A1" w:rsidRDefault="00CC215D" w:rsidP="00CC215D">
      <w:pPr>
        <w:pStyle w:val="ListParagraph"/>
        <w:numPr>
          <w:ilvl w:val="1"/>
          <w:numId w:val="3"/>
        </w:numPr>
      </w:pPr>
      <w:r>
        <w:t>Two of the four species that are dominant canopy members late in succession</w:t>
      </w:r>
      <w:r w:rsidR="00A054A1">
        <w:t xml:space="preserve">, </w:t>
      </w:r>
      <w:r w:rsidR="00A054A1">
        <w:rPr>
          <w:i/>
        </w:rPr>
        <w:t xml:space="preserve">Hakea teretifolia </w:t>
      </w:r>
      <w:r w:rsidR="00A054A1">
        <w:t xml:space="preserve">and </w:t>
      </w:r>
      <w:r>
        <w:rPr>
          <w:i/>
        </w:rPr>
        <w:t>Petrophile pulchella</w:t>
      </w:r>
      <w:r>
        <w:t>,</w:t>
      </w:r>
      <w:r>
        <w:rPr>
          <w:i/>
        </w:rPr>
        <w:t xml:space="preserve"> </w:t>
      </w:r>
      <w:r>
        <w:t xml:space="preserve">are the only study species that continued to demonstrate strong investment in leaf area at 30 years of age. The other two canopy species, </w:t>
      </w:r>
      <w:r>
        <w:rPr>
          <w:i/>
        </w:rPr>
        <w:t xml:space="preserve">Banksia ericifolia </w:t>
      </w:r>
      <w:r>
        <w:t xml:space="preserve">and </w:t>
      </w:r>
      <w:r>
        <w:rPr>
          <w:i/>
        </w:rPr>
        <w:t>Persoonia lanceolata</w:t>
      </w:r>
      <w:r>
        <w:t xml:space="preserve">, have negative investment in leaf area at the oldest site, with many </w:t>
      </w:r>
      <w:r>
        <w:rPr>
          <w:i/>
        </w:rPr>
        <w:t xml:space="preserve">P. lanceolata </w:t>
      </w:r>
      <w:r>
        <w:t>individuals displaying minimal growth.</w:t>
      </w:r>
    </w:p>
    <w:p w:rsidR="00CC215D" w:rsidRDefault="00CC215D" w:rsidP="00CC215D">
      <w:pPr>
        <w:pStyle w:val="ListParagraph"/>
        <w:numPr>
          <w:ilvl w:val="1"/>
          <w:numId w:val="3"/>
        </w:numPr>
      </w:pPr>
      <w:r>
        <w:t xml:space="preserve">There are two additional understory species that continued to be common within the oldest site, </w:t>
      </w:r>
      <w:r>
        <w:rPr>
          <w:i/>
        </w:rPr>
        <w:t xml:space="preserve">Leucopogon </w:t>
      </w:r>
      <w:r>
        <w:t xml:space="preserve">and </w:t>
      </w:r>
      <w:r>
        <w:rPr>
          <w:i/>
        </w:rPr>
        <w:t>Epacris</w:t>
      </w:r>
      <w:r>
        <w:t>, both members of the heath family (</w:t>
      </w:r>
      <w:proofErr w:type="spellStart"/>
      <w:r>
        <w:t>Ericaceae</w:t>
      </w:r>
      <w:proofErr w:type="spellEnd"/>
      <w:r>
        <w:t>). Although leaf investment for both these species was much lower at the oldest site, many individuals of both species did continue to exhibit positive leaf investment together with high reproductive investment.</w:t>
      </w:r>
    </w:p>
    <w:p w:rsidR="00912F71" w:rsidRDefault="00912F71" w:rsidP="00912F71">
      <w:pPr>
        <w:pStyle w:val="ListParagraph"/>
        <w:numPr>
          <w:ilvl w:val="0"/>
          <w:numId w:val="3"/>
        </w:numPr>
      </w:pPr>
      <w:r>
        <w:t xml:space="preserve">Leaf area is a better </w:t>
      </w:r>
      <w:r w:rsidR="00D649DA">
        <w:t xml:space="preserve">predictor of future investment than is total plant weight. Since leaf area represents the plants photosynthetic capacity, this should be no surprise. </w:t>
      </w:r>
    </w:p>
    <w:p w:rsidR="00A75447" w:rsidRDefault="00A75447" w:rsidP="00A75447">
      <w:pPr>
        <w:pStyle w:val="ListParagraph"/>
        <w:numPr>
          <w:ilvl w:val="1"/>
          <w:numId w:val="3"/>
        </w:numPr>
      </w:pPr>
      <w:r>
        <w:t>For many species both are fairly poor, but more or less across the board, leaf area is better</w:t>
      </w:r>
    </w:p>
    <w:p w:rsidR="00A75447" w:rsidRDefault="00A75447" w:rsidP="00A75447">
      <w:pPr>
        <w:pStyle w:val="ListParagraph"/>
        <w:numPr>
          <w:ilvl w:val="1"/>
          <w:numId w:val="3"/>
        </w:numPr>
      </w:pPr>
      <w:r>
        <w:t>This means that is total leaf area is declining with size, plants are on a slow trajectory to death as soon as they begin cannibalizing leaf area to support reproductive investment</w:t>
      </w:r>
    </w:p>
    <w:p w:rsidR="00D649DA" w:rsidRDefault="00D649DA" w:rsidP="00912F71">
      <w:pPr>
        <w:pStyle w:val="ListParagraph"/>
        <w:numPr>
          <w:ilvl w:val="0"/>
          <w:numId w:val="3"/>
        </w:numPr>
      </w:pPr>
      <w:r>
        <w:t>It is widely assumed that large perennial species continu</w:t>
      </w:r>
      <w:r w:rsidR="00A75447">
        <w:t>e</w:t>
      </w:r>
      <w:r>
        <w:t xml:space="preserve"> increasing in size throughout their lifetimes. If leaf area is used as the measure of plant size, this </w:t>
      </w:r>
      <w:r w:rsidR="00A75447">
        <w:t xml:space="preserve">is </w:t>
      </w:r>
      <w:r>
        <w:t>not true</w:t>
      </w:r>
      <w:r w:rsidR="00A75447">
        <w:t xml:space="preserve"> for these study species</w:t>
      </w:r>
      <w:r>
        <w:t>.</w:t>
      </w:r>
    </w:p>
    <w:p w:rsidR="004B53F8" w:rsidRDefault="004B53F8" w:rsidP="004B53F8">
      <w:pPr>
        <w:pStyle w:val="Heading1"/>
      </w:pPr>
      <w:r>
        <w:t>Figure captions.</w:t>
      </w:r>
    </w:p>
    <w:p w:rsidR="004B53F8" w:rsidRDefault="004B53F8" w:rsidP="004B53F8">
      <w:pPr>
        <w:rPr>
          <w:i/>
        </w:rPr>
      </w:pPr>
      <w:r>
        <w:t>Figure 1. Investment in increased leaf area versus reproductive output (both on a year basis) for all reproducing individuals within the population. Panel (a) colours the individuals by species and panel (b) colours the individuals by age. Note that leaf investment values are scaled as positive in these plots. See methods for details on the transformation.</w:t>
      </w:r>
      <w:r w:rsidR="00757124">
        <w:t xml:space="preserve"> (</w:t>
      </w:r>
      <w:r w:rsidR="00757124">
        <w:rPr>
          <w:i/>
        </w:rPr>
        <w:t>Lizzy: I can also create this figure using the same data as in Figure 2, where the data aren’t scaled – it results in some very odd RA values among individuals with negative leaf investment. Not at all sure about the best approach here.)</w:t>
      </w:r>
    </w:p>
    <w:p w:rsidR="004D3EBD" w:rsidRDefault="004D3EBD" w:rsidP="004B53F8">
      <w:pPr>
        <w:rPr>
          <w:i/>
        </w:rPr>
      </w:pPr>
    </w:p>
    <w:p w:rsidR="004D3EBD" w:rsidRPr="003C3342" w:rsidRDefault="004D3EBD" w:rsidP="004D3EBD">
      <w:pPr>
        <w:pStyle w:val="ListParagraph"/>
        <w:numPr>
          <w:ilvl w:val="0"/>
          <w:numId w:val="7"/>
        </w:numPr>
        <w:spacing w:after="360" w:line="480" w:lineRule="auto"/>
        <w:rPr>
          <w:rFonts w:cs="Times New Roman"/>
        </w:rPr>
      </w:pPr>
      <w:r w:rsidRPr="003C3342">
        <w:rPr>
          <w:rFonts w:cs="Times New Roman"/>
        </w:rPr>
        <w:fldChar w:fldCharType="begin"/>
      </w:r>
      <w:r w:rsidRPr="003C3342">
        <w:rPr>
          <w:rFonts w:cs="Times New Roman"/>
        </w:rPr>
        <w:instrText xml:space="preserve"> ADDIN ZOTERO_ITEM CSL_CITATION {"citationID":"ad9rc0flt","properties":{"formattedCitation":"(Thompson &amp; Stewart 1981)","plainCitation":"(Thompson &amp; Stewart 1981)"},"citationItems":[{"id":874,"uris":["http://zotero.org/users/503753/items/RSGQJTB9"],"uri":["http://zotero.org/users/503753/items/RSGQJTB9"],"itemData":{"id":874,"type":"article-journal","title":"The measurement and meaning of reproductive effort in plants","container-title":"The American Naturalist","page":"205-211","volume":"117","issue":"2","ISSN":"00030147","note":"ArticleType: research-article / Full publication date: Feb., 1981 / Copyright © 1981 The University of Chicago Press","author":[{"family":"Thompson","given":"K."},{"family":"Stewart","given":"A. J. A."}],"issued":{"date-parts":[["1981",2,1]]}}}],"schema":"https://github.com/citation-style-language/schema/raw/master/csl-citation.json"} </w:instrText>
      </w:r>
      <w:r w:rsidRPr="003C3342">
        <w:rPr>
          <w:rFonts w:cs="Times New Roman"/>
        </w:rPr>
        <w:fldChar w:fldCharType="separate"/>
      </w:r>
      <w:r w:rsidRPr="003C3342">
        <w:rPr>
          <w:rFonts w:cs="Times New Roman"/>
        </w:rPr>
        <w:t>(Thompson &amp; Stewart 1981)</w:t>
      </w:r>
      <w:r w:rsidRPr="003C3342">
        <w:rPr>
          <w:rFonts w:cs="Times New Roman"/>
        </w:rPr>
        <w:fldChar w:fldCharType="end"/>
      </w:r>
      <w:r w:rsidRPr="003C3342">
        <w:rPr>
          <w:rFonts w:cs="Times New Roman"/>
        </w:rPr>
        <w:t xml:space="preserve"> – call RA measure of greatest importance as well</w:t>
      </w:r>
    </w:p>
    <w:p w:rsidR="004D3EBD" w:rsidRPr="003C3342" w:rsidRDefault="004D3EBD" w:rsidP="004D3EBD">
      <w:pPr>
        <w:pStyle w:val="ListParagraph"/>
        <w:numPr>
          <w:ilvl w:val="0"/>
          <w:numId w:val="7"/>
        </w:numPr>
        <w:autoSpaceDE w:val="0"/>
        <w:autoSpaceDN w:val="0"/>
        <w:adjustRightInd w:val="0"/>
        <w:spacing w:after="0" w:line="340" w:lineRule="atLeast"/>
        <w:rPr>
          <w:rFonts w:cs="Times New Roman"/>
        </w:rPr>
      </w:pPr>
      <w:r w:rsidRPr="003C3342">
        <w:rPr>
          <w:rFonts w:cs="Times New Roman"/>
        </w:rPr>
        <w:fldChar w:fldCharType="begin"/>
      </w:r>
      <w:r w:rsidRPr="003C3342">
        <w:rPr>
          <w:rFonts w:cs="Times New Roman"/>
        </w:rPr>
        <w:instrText xml:space="preserve"> ADDIN ZOTERO_ITEM CSL_CITATION {"citationID":"rbp0rtfv7","properties":{"formattedCitation":"(Primack 1987)","plainCitation":"(Primack 1987)"},"citationItems":[{"id":493,"uris":["http://zotero.org/users/503753/items/EAUBE3JI"],"uri":["http://zotero.org/users/503753/items/EAUBE3JI"],"itemData":{"id":493,"type":"article-journal","title":"Relationships Among Flowers, Fruits, and Seeds","container-title":"Annual Review of Ecology and Systematics","page":"409-430","volume":"18","ISSN":"00664162","note":"ArticleType: research-article / Full publication date: 1987 / Copyright © 1987 Annual Reviews","author":[{"family":"Primack","given":"Richard B."}],"issued":{"date-parts":[["1987",1,1]]}}}],"schema":"https://github.com/citation-style-language/schema/raw/master/csl-citation.json"} </w:instrText>
      </w:r>
      <w:r w:rsidRPr="003C3342">
        <w:rPr>
          <w:rFonts w:cs="Times New Roman"/>
        </w:rPr>
        <w:fldChar w:fldCharType="separate"/>
      </w:r>
      <w:r w:rsidRPr="003C3342">
        <w:rPr>
          <w:rFonts w:cs="Times New Roman"/>
        </w:rPr>
        <w:t>(Primack 1987)</w:t>
      </w:r>
      <w:r w:rsidRPr="003C3342">
        <w:rPr>
          <w:rFonts w:cs="Times New Roman"/>
        </w:rPr>
        <w:fldChar w:fldCharType="end"/>
      </w:r>
    </w:p>
    <w:p w:rsidR="004D3EBD" w:rsidRDefault="004D3EBD" w:rsidP="004B53F8">
      <w:pPr>
        <w:rPr>
          <w:i/>
        </w:rPr>
      </w:pPr>
    </w:p>
    <w:p w:rsidR="00D27654" w:rsidRPr="00D27654" w:rsidRDefault="008A4174" w:rsidP="00D27654">
      <w:pPr>
        <w:pStyle w:val="Bibliography"/>
        <w:rPr>
          <w:rFonts w:ascii="Calibri" w:hAnsi="Calibri"/>
        </w:rPr>
      </w:pPr>
      <w:r>
        <w:rPr>
          <w:i/>
        </w:rPr>
        <w:fldChar w:fldCharType="begin"/>
      </w:r>
      <w:r w:rsidR="00D27654">
        <w:rPr>
          <w:i/>
        </w:rPr>
        <w:instrText xml:space="preserve"> ADDIN ZOTERO_BIBL {"custom":[]} CSL_BIBLIOGRAPHY </w:instrText>
      </w:r>
      <w:r>
        <w:rPr>
          <w:i/>
        </w:rPr>
        <w:fldChar w:fldCharType="separate"/>
      </w:r>
      <w:r w:rsidR="00D27654" w:rsidRPr="00D27654">
        <w:rPr>
          <w:rFonts w:ascii="Calibri" w:hAnsi="Calibri"/>
        </w:rPr>
        <w:t xml:space="preserve">Cole, L.C. (1954) The population consequences of life history phenomena. </w:t>
      </w:r>
      <w:r w:rsidR="00D27654" w:rsidRPr="00D27654">
        <w:rPr>
          <w:rFonts w:ascii="Calibri" w:hAnsi="Calibri"/>
          <w:i/>
          <w:iCs/>
        </w:rPr>
        <w:t>The Quarterly Review of Biology</w:t>
      </w:r>
      <w:r w:rsidR="00D27654" w:rsidRPr="00D27654">
        <w:rPr>
          <w:rFonts w:ascii="Calibri" w:hAnsi="Calibri"/>
        </w:rPr>
        <w:t xml:space="preserve">, </w:t>
      </w:r>
      <w:r w:rsidR="00D27654" w:rsidRPr="00D27654">
        <w:rPr>
          <w:rFonts w:ascii="Calibri" w:hAnsi="Calibri"/>
          <w:b/>
          <w:bCs/>
        </w:rPr>
        <w:t>29</w:t>
      </w:r>
      <w:r w:rsidR="00D27654" w:rsidRPr="00D27654">
        <w:rPr>
          <w:rFonts w:ascii="Calibri" w:hAnsi="Calibri"/>
        </w:rPr>
        <w:t>, 103–137.</w:t>
      </w:r>
    </w:p>
    <w:p w:rsidR="00D27654" w:rsidRPr="00D27654" w:rsidRDefault="00D27654" w:rsidP="00D27654">
      <w:pPr>
        <w:pStyle w:val="Bibliography"/>
        <w:rPr>
          <w:rFonts w:ascii="Calibri" w:hAnsi="Calibri"/>
        </w:rPr>
      </w:pPr>
      <w:r w:rsidRPr="00D27654">
        <w:rPr>
          <w:rFonts w:ascii="Calibri" w:hAnsi="Calibri"/>
        </w:rPr>
        <w:lastRenderedPageBreak/>
        <w:t xml:space="preserve">King, D. &amp; Roughgarden, J. (1982) Graded allocation between vegetative and reproductive growth for annual plants in growing seasons of random length. </w:t>
      </w:r>
      <w:r w:rsidRPr="00D27654">
        <w:rPr>
          <w:rFonts w:ascii="Calibri" w:hAnsi="Calibri"/>
          <w:i/>
          <w:iCs/>
        </w:rPr>
        <w:t>Theoretical Population Biology</w:t>
      </w:r>
      <w:r w:rsidRPr="00D27654">
        <w:rPr>
          <w:rFonts w:ascii="Calibri" w:hAnsi="Calibri"/>
        </w:rPr>
        <w:t xml:space="preserve">, </w:t>
      </w:r>
      <w:r w:rsidRPr="00D27654">
        <w:rPr>
          <w:rFonts w:ascii="Calibri" w:hAnsi="Calibri"/>
          <w:b/>
          <w:bCs/>
        </w:rPr>
        <w:t>22</w:t>
      </w:r>
      <w:r w:rsidRPr="00D27654">
        <w:rPr>
          <w:rFonts w:ascii="Calibri" w:hAnsi="Calibri"/>
        </w:rPr>
        <w:t>, 1–16.</w:t>
      </w:r>
    </w:p>
    <w:p w:rsidR="00D27654" w:rsidRPr="00D27654" w:rsidRDefault="00D27654" w:rsidP="00D27654">
      <w:pPr>
        <w:pStyle w:val="Bibliography"/>
        <w:rPr>
          <w:rFonts w:ascii="Calibri" w:hAnsi="Calibri"/>
        </w:rPr>
      </w:pPr>
      <w:r w:rsidRPr="00D27654">
        <w:rPr>
          <w:rFonts w:ascii="Calibri" w:hAnsi="Calibri"/>
        </w:rPr>
        <w:t xml:space="preserve">Kozlowski, J. (1992) Optimal allocation of resources to growth and reproduction: Implications for age and size at maturity. </w:t>
      </w:r>
      <w:r w:rsidRPr="00D27654">
        <w:rPr>
          <w:rFonts w:ascii="Calibri" w:hAnsi="Calibri"/>
          <w:i/>
          <w:iCs/>
        </w:rPr>
        <w:t>Trends in Ecology &amp; Evolution</w:t>
      </w:r>
      <w:r w:rsidRPr="00D27654">
        <w:rPr>
          <w:rFonts w:ascii="Calibri" w:hAnsi="Calibri"/>
        </w:rPr>
        <w:t xml:space="preserve">, </w:t>
      </w:r>
      <w:r w:rsidRPr="00D27654">
        <w:rPr>
          <w:rFonts w:ascii="Calibri" w:hAnsi="Calibri"/>
          <w:b/>
          <w:bCs/>
        </w:rPr>
        <w:t>7</w:t>
      </w:r>
      <w:r w:rsidRPr="00D27654">
        <w:rPr>
          <w:rFonts w:ascii="Calibri" w:hAnsi="Calibri"/>
        </w:rPr>
        <w:t>, 15–19.</w:t>
      </w:r>
    </w:p>
    <w:p w:rsidR="00D27654" w:rsidRPr="00D27654" w:rsidRDefault="00D27654" w:rsidP="00D27654">
      <w:pPr>
        <w:pStyle w:val="Bibliography"/>
        <w:rPr>
          <w:rFonts w:ascii="Calibri" w:hAnsi="Calibri"/>
        </w:rPr>
      </w:pPr>
      <w:r w:rsidRPr="00D27654">
        <w:rPr>
          <w:rFonts w:ascii="Calibri" w:hAnsi="Calibri"/>
        </w:rPr>
        <w:t xml:space="preserve">Mäkelä, A. (1997) A carbon balance model of growth and self-pruning in trees based on structural relationships. </w:t>
      </w:r>
      <w:r w:rsidRPr="00D27654">
        <w:rPr>
          <w:rFonts w:ascii="Calibri" w:hAnsi="Calibri"/>
          <w:i/>
          <w:iCs/>
        </w:rPr>
        <w:t>Forest Science</w:t>
      </w:r>
      <w:r w:rsidRPr="00D27654">
        <w:rPr>
          <w:rFonts w:ascii="Calibri" w:hAnsi="Calibri"/>
        </w:rPr>
        <w:t xml:space="preserve">, </w:t>
      </w:r>
      <w:r w:rsidRPr="00D27654">
        <w:rPr>
          <w:rFonts w:ascii="Calibri" w:hAnsi="Calibri"/>
          <w:b/>
          <w:bCs/>
        </w:rPr>
        <w:t>43</w:t>
      </w:r>
      <w:r w:rsidRPr="00D27654">
        <w:rPr>
          <w:rFonts w:ascii="Calibri" w:hAnsi="Calibri"/>
        </w:rPr>
        <w:t>, 7–24.</w:t>
      </w:r>
    </w:p>
    <w:p w:rsidR="00D27654" w:rsidRPr="00D27654" w:rsidRDefault="00D27654" w:rsidP="00D27654">
      <w:pPr>
        <w:pStyle w:val="Bibliography"/>
        <w:rPr>
          <w:rFonts w:ascii="Calibri" w:hAnsi="Calibri"/>
        </w:rPr>
      </w:pPr>
      <w:r w:rsidRPr="00D27654">
        <w:rPr>
          <w:rFonts w:ascii="Calibri" w:hAnsi="Calibri"/>
        </w:rPr>
        <w:t>Miller, T.E.X., Tenhumberg, B. &amp; Louda, S.M. (2008) Herbivore</w:t>
      </w:r>
      <w:r w:rsidRPr="00D27654">
        <w:rPr>
          <w:rFonts w:ascii="Calibri" w:hAnsi="Calibri" w:cs="Cambria Math"/>
        </w:rPr>
        <w:t>‐</w:t>
      </w:r>
      <w:r w:rsidRPr="00D27654">
        <w:rPr>
          <w:rFonts w:ascii="Calibri" w:hAnsi="Calibri"/>
        </w:rPr>
        <w:t xml:space="preserve">Mediated Ecological Costs of Reproduction Shape the Life History of an Iteroparous Plant. </w:t>
      </w:r>
      <w:r w:rsidRPr="00D27654">
        <w:rPr>
          <w:rFonts w:ascii="Calibri" w:hAnsi="Calibri"/>
          <w:i/>
          <w:iCs/>
        </w:rPr>
        <w:t>The American Naturalist</w:t>
      </w:r>
      <w:r w:rsidRPr="00D27654">
        <w:rPr>
          <w:rFonts w:ascii="Calibri" w:hAnsi="Calibri"/>
        </w:rPr>
        <w:t xml:space="preserve">, </w:t>
      </w:r>
      <w:r w:rsidRPr="00D27654">
        <w:rPr>
          <w:rFonts w:ascii="Calibri" w:hAnsi="Calibri"/>
          <w:b/>
          <w:bCs/>
        </w:rPr>
        <w:t>171</w:t>
      </w:r>
      <w:r w:rsidRPr="00D27654">
        <w:rPr>
          <w:rFonts w:ascii="Calibri" w:hAnsi="Calibri"/>
        </w:rPr>
        <w:t>, 141–149.</w:t>
      </w:r>
    </w:p>
    <w:p w:rsidR="00D27654" w:rsidRPr="00D27654" w:rsidRDefault="00D27654" w:rsidP="00D27654">
      <w:pPr>
        <w:pStyle w:val="Bibliography"/>
        <w:rPr>
          <w:rFonts w:ascii="Calibri" w:hAnsi="Calibri"/>
        </w:rPr>
      </w:pPr>
      <w:r w:rsidRPr="00D27654">
        <w:rPr>
          <w:rFonts w:ascii="Calibri" w:hAnsi="Calibri"/>
        </w:rPr>
        <w:t xml:space="preserve">Obeso, J.R. (2002) The costs of reproduction in plants. </w:t>
      </w:r>
      <w:r w:rsidRPr="00D27654">
        <w:rPr>
          <w:rFonts w:ascii="Calibri" w:hAnsi="Calibri"/>
          <w:i/>
          <w:iCs/>
        </w:rPr>
        <w:t>New Phytologist</w:t>
      </w:r>
      <w:r w:rsidRPr="00D27654">
        <w:rPr>
          <w:rFonts w:ascii="Calibri" w:hAnsi="Calibri"/>
        </w:rPr>
        <w:t xml:space="preserve">, </w:t>
      </w:r>
      <w:r w:rsidRPr="00D27654">
        <w:rPr>
          <w:rFonts w:ascii="Calibri" w:hAnsi="Calibri"/>
          <w:b/>
          <w:bCs/>
        </w:rPr>
        <w:t>155</w:t>
      </w:r>
      <w:r w:rsidRPr="00D27654">
        <w:rPr>
          <w:rFonts w:ascii="Calibri" w:hAnsi="Calibri"/>
        </w:rPr>
        <w:t>, 321–348.</w:t>
      </w:r>
    </w:p>
    <w:p w:rsidR="00D27654" w:rsidRPr="00D27654" w:rsidRDefault="00D27654" w:rsidP="00D27654">
      <w:pPr>
        <w:pStyle w:val="Bibliography"/>
        <w:rPr>
          <w:rFonts w:ascii="Calibri" w:hAnsi="Calibri"/>
        </w:rPr>
      </w:pPr>
      <w:r w:rsidRPr="00D27654">
        <w:rPr>
          <w:rFonts w:ascii="Calibri" w:hAnsi="Calibri"/>
        </w:rPr>
        <w:t xml:space="preserve">Primack, R.B. (1987) Relationships Among Flowers, Fruits, and Seeds. </w:t>
      </w:r>
      <w:r w:rsidRPr="00D27654">
        <w:rPr>
          <w:rFonts w:ascii="Calibri" w:hAnsi="Calibri"/>
          <w:i/>
          <w:iCs/>
        </w:rPr>
        <w:t>Annual Review of Ecology and Systematics</w:t>
      </w:r>
      <w:r w:rsidRPr="00D27654">
        <w:rPr>
          <w:rFonts w:ascii="Calibri" w:hAnsi="Calibri"/>
        </w:rPr>
        <w:t xml:space="preserve">, </w:t>
      </w:r>
      <w:r w:rsidRPr="00D27654">
        <w:rPr>
          <w:rFonts w:ascii="Calibri" w:hAnsi="Calibri"/>
          <w:b/>
          <w:bCs/>
        </w:rPr>
        <w:t>18</w:t>
      </w:r>
      <w:r w:rsidRPr="00D27654">
        <w:rPr>
          <w:rFonts w:ascii="Calibri" w:hAnsi="Calibri"/>
        </w:rPr>
        <w:t>, 409–430.</w:t>
      </w:r>
    </w:p>
    <w:p w:rsidR="00D27654" w:rsidRPr="00D27654" w:rsidRDefault="00D27654" w:rsidP="00D27654">
      <w:pPr>
        <w:pStyle w:val="Bibliography"/>
        <w:rPr>
          <w:rFonts w:ascii="Calibri" w:hAnsi="Calibri"/>
        </w:rPr>
      </w:pPr>
      <w:r w:rsidRPr="00D27654">
        <w:rPr>
          <w:rFonts w:ascii="Calibri" w:hAnsi="Calibri"/>
        </w:rPr>
        <w:t xml:space="preserve">Thomas, S.C. (2011) Age-related changes in tree growth and functional biology: the role of reproduction. </w:t>
      </w:r>
      <w:r w:rsidRPr="00D27654">
        <w:rPr>
          <w:rFonts w:ascii="Calibri" w:hAnsi="Calibri"/>
          <w:i/>
          <w:iCs/>
        </w:rPr>
        <w:t>Size- and Age-Related Changes in Tree Structure and Function</w:t>
      </w:r>
      <w:r w:rsidRPr="00D27654">
        <w:rPr>
          <w:rFonts w:ascii="Calibri" w:hAnsi="Calibri"/>
        </w:rPr>
        <w:t xml:space="preserve"> (eds F.C. Meinzer, B. Lachenbruch &amp; T.E. Dawson), pp. 33–64. Springer Netherlands, Dordrecht.</w:t>
      </w:r>
    </w:p>
    <w:p w:rsidR="00D27654" w:rsidRPr="00D27654" w:rsidRDefault="00D27654" w:rsidP="00D27654">
      <w:pPr>
        <w:pStyle w:val="Bibliography"/>
        <w:rPr>
          <w:rFonts w:ascii="Calibri" w:hAnsi="Calibri"/>
        </w:rPr>
      </w:pPr>
      <w:r w:rsidRPr="00D27654">
        <w:rPr>
          <w:rFonts w:ascii="Calibri" w:hAnsi="Calibri"/>
        </w:rPr>
        <w:t xml:space="preserve">Thompson, K. &amp; Stewart, A.J.A. (1981) The measurement and meaning of reproductive effort in plants. </w:t>
      </w:r>
      <w:r w:rsidRPr="00D27654">
        <w:rPr>
          <w:rFonts w:ascii="Calibri" w:hAnsi="Calibri"/>
          <w:i/>
          <w:iCs/>
        </w:rPr>
        <w:t>The American Naturalist</w:t>
      </w:r>
      <w:r w:rsidRPr="00D27654">
        <w:rPr>
          <w:rFonts w:ascii="Calibri" w:hAnsi="Calibri"/>
        </w:rPr>
        <w:t xml:space="preserve">, </w:t>
      </w:r>
      <w:r w:rsidRPr="00D27654">
        <w:rPr>
          <w:rFonts w:ascii="Calibri" w:hAnsi="Calibri"/>
          <w:b/>
          <w:bCs/>
        </w:rPr>
        <w:t>117</w:t>
      </w:r>
      <w:r w:rsidRPr="00D27654">
        <w:rPr>
          <w:rFonts w:ascii="Calibri" w:hAnsi="Calibri"/>
        </w:rPr>
        <w:t>, 205–211.</w:t>
      </w:r>
    </w:p>
    <w:p w:rsidR="00D27654" w:rsidRPr="00D27654" w:rsidRDefault="00D27654" w:rsidP="00D27654">
      <w:pPr>
        <w:pStyle w:val="Bibliography"/>
        <w:rPr>
          <w:rFonts w:ascii="Calibri" w:hAnsi="Calibri"/>
        </w:rPr>
      </w:pPr>
      <w:r w:rsidRPr="00D27654">
        <w:rPr>
          <w:rFonts w:ascii="Calibri" w:hAnsi="Calibri"/>
        </w:rPr>
        <w:t xml:space="preserve">Thornley, J.H.M. (1972) A model to describe the partitioning of photosynthate during vegetative plant growth. </w:t>
      </w:r>
      <w:r w:rsidRPr="00D27654">
        <w:rPr>
          <w:rFonts w:ascii="Calibri" w:hAnsi="Calibri"/>
          <w:i/>
          <w:iCs/>
        </w:rPr>
        <w:t>Annals of Botany</w:t>
      </w:r>
      <w:r w:rsidRPr="00D27654">
        <w:rPr>
          <w:rFonts w:ascii="Calibri" w:hAnsi="Calibri"/>
        </w:rPr>
        <w:t xml:space="preserve">, </w:t>
      </w:r>
      <w:r w:rsidRPr="00D27654">
        <w:rPr>
          <w:rFonts w:ascii="Calibri" w:hAnsi="Calibri"/>
          <w:b/>
          <w:bCs/>
        </w:rPr>
        <w:t>36</w:t>
      </w:r>
      <w:r w:rsidRPr="00D27654">
        <w:rPr>
          <w:rFonts w:ascii="Calibri" w:hAnsi="Calibri"/>
        </w:rPr>
        <w:t>, 419–430.</w:t>
      </w:r>
    </w:p>
    <w:p w:rsidR="00D27654" w:rsidRPr="00D27654" w:rsidRDefault="00D27654" w:rsidP="00D27654">
      <w:pPr>
        <w:pStyle w:val="Bibliography"/>
        <w:rPr>
          <w:rFonts w:ascii="Calibri" w:hAnsi="Calibri"/>
        </w:rPr>
      </w:pPr>
      <w:r w:rsidRPr="00D27654">
        <w:rPr>
          <w:rFonts w:ascii="Calibri" w:hAnsi="Calibri"/>
        </w:rPr>
        <w:t xml:space="preserve">Weiner, J., Campbell, L.G., Pino, J. &amp; Echarte, L. (2009) The allometry of reproduction within plant populations. </w:t>
      </w:r>
      <w:r w:rsidRPr="00D27654">
        <w:rPr>
          <w:rFonts w:ascii="Calibri" w:hAnsi="Calibri"/>
          <w:i/>
          <w:iCs/>
        </w:rPr>
        <w:t>Journal of Ecology</w:t>
      </w:r>
      <w:r w:rsidRPr="00D27654">
        <w:rPr>
          <w:rFonts w:ascii="Calibri" w:hAnsi="Calibri"/>
        </w:rPr>
        <w:t xml:space="preserve">, </w:t>
      </w:r>
      <w:r w:rsidRPr="00D27654">
        <w:rPr>
          <w:rFonts w:ascii="Calibri" w:hAnsi="Calibri"/>
          <w:b/>
          <w:bCs/>
        </w:rPr>
        <w:t>97</w:t>
      </w:r>
      <w:r w:rsidRPr="00D27654">
        <w:rPr>
          <w:rFonts w:ascii="Calibri" w:hAnsi="Calibri"/>
        </w:rPr>
        <w:t>, 1220–1233.</w:t>
      </w:r>
    </w:p>
    <w:p w:rsidR="00D27654" w:rsidRPr="00D27654" w:rsidRDefault="00D27654" w:rsidP="00D27654">
      <w:pPr>
        <w:pStyle w:val="Bibliography"/>
        <w:rPr>
          <w:rFonts w:ascii="Calibri" w:hAnsi="Calibri"/>
        </w:rPr>
      </w:pPr>
      <w:r w:rsidRPr="00D27654">
        <w:rPr>
          <w:rFonts w:ascii="Calibri" w:hAnsi="Calibri"/>
        </w:rPr>
        <w:t xml:space="preserve">Wenk, E.H. &amp; Falster, D.S. (2015) Quantifying and understanding reproductive allocation schedules in plants. </w:t>
      </w:r>
      <w:r w:rsidRPr="00D27654">
        <w:rPr>
          <w:rFonts w:ascii="Calibri" w:hAnsi="Calibri"/>
          <w:i/>
          <w:iCs/>
        </w:rPr>
        <w:t>Ecology and Evolution</w:t>
      </w:r>
      <w:r w:rsidRPr="00D27654">
        <w:rPr>
          <w:rFonts w:ascii="Calibri" w:hAnsi="Calibri"/>
        </w:rPr>
        <w:t xml:space="preserve">, </w:t>
      </w:r>
      <w:r w:rsidRPr="00D27654">
        <w:rPr>
          <w:rFonts w:ascii="Calibri" w:hAnsi="Calibri"/>
          <w:b/>
          <w:bCs/>
        </w:rPr>
        <w:t>5</w:t>
      </w:r>
      <w:r w:rsidRPr="00D27654">
        <w:rPr>
          <w:rFonts w:ascii="Calibri" w:hAnsi="Calibri"/>
        </w:rPr>
        <w:t>, 5521–5538.</w:t>
      </w:r>
    </w:p>
    <w:p w:rsidR="00D27654" w:rsidRPr="00D27654" w:rsidRDefault="00D27654" w:rsidP="00D27654">
      <w:pPr>
        <w:pStyle w:val="Bibliography"/>
        <w:rPr>
          <w:rFonts w:ascii="Calibri" w:hAnsi="Calibri"/>
        </w:rPr>
      </w:pPr>
      <w:r w:rsidRPr="00D27654">
        <w:rPr>
          <w:rFonts w:ascii="Calibri" w:hAnsi="Calibri"/>
        </w:rPr>
        <w:t xml:space="preserve">de Wit, C.T. (1978) </w:t>
      </w:r>
      <w:r w:rsidRPr="00D27654">
        <w:rPr>
          <w:rFonts w:ascii="Calibri" w:hAnsi="Calibri"/>
          <w:i/>
          <w:iCs/>
        </w:rPr>
        <w:t>Simulation of Assimilation, Respiration and Transpiration of Crops</w:t>
      </w:r>
      <w:r w:rsidRPr="00D27654">
        <w:rPr>
          <w:rFonts w:ascii="Calibri" w:hAnsi="Calibri"/>
        </w:rPr>
        <w:t>. Centre for Agricultural Publishing and Documentation.</w:t>
      </w:r>
    </w:p>
    <w:p w:rsidR="00D27654" w:rsidRPr="00D27654" w:rsidRDefault="00D27654" w:rsidP="00D27654">
      <w:pPr>
        <w:pStyle w:val="Bibliography"/>
        <w:rPr>
          <w:rFonts w:ascii="Calibri" w:hAnsi="Calibri"/>
        </w:rPr>
      </w:pPr>
      <w:r w:rsidRPr="00D27654">
        <w:rPr>
          <w:rFonts w:ascii="Calibri" w:hAnsi="Calibri"/>
        </w:rPr>
        <w:t xml:space="preserve">Wright, S.J., Jaramillo, M.A., Pavon, J., Condit, R., Hubbell, S.P. &amp; Foster, R.B. (2005) Reproductive size thresholds in tropical trees: variation among individuals, species and forests. </w:t>
      </w:r>
      <w:r w:rsidRPr="00D27654">
        <w:rPr>
          <w:rFonts w:ascii="Calibri" w:hAnsi="Calibri"/>
          <w:i/>
          <w:iCs/>
        </w:rPr>
        <w:t>Journal of Tropical Ecology</w:t>
      </w:r>
      <w:r w:rsidRPr="00D27654">
        <w:rPr>
          <w:rFonts w:ascii="Calibri" w:hAnsi="Calibri"/>
        </w:rPr>
        <w:t xml:space="preserve">, </w:t>
      </w:r>
      <w:r w:rsidRPr="00D27654">
        <w:rPr>
          <w:rFonts w:ascii="Calibri" w:hAnsi="Calibri"/>
          <w:b/>
          <w:bCs/>
        </w:rPr>
        <w:t>21</w:t>
      </w:r>
      <w:r w:rsidRPr="00D27654">
        <w:rPr>
          <w:rFonts w:ascii="Calibri" w:hAnsi="Calibri"/>
        </w:rPr>
        <w:t>, 307–315.</w:t>
      </w:r>
    </w:p>
    <w:p w:rsidR="00D27654" w:rsidRPr="00D27654" w:rsidRDefault="00D27654" w:rsidP="00D27654">
      <w:pPr>
        <w:pStyle w:val="Bibliography"/>
        <w:rPr>
          <w:rFonts w:ascii="Calibri" w:hAnsi="Calibri"/>
        </w:rPr>
      </w:pPr>
      <w:r w:rsidRPr="00D27654">
        <w:rPr>
          <w:rFonts w:ascii="Calibri" w:hAnsi="Calibri"/>
        </w:rPr>
        <w:t xml:space="preserve">Wright, S.J., Kitajima, K., Kraft, N.J.B., Reich, P.B., Wright, I.J., Bunker, D.E., Condit, R., Dalling, J.W., Davies, S.J., Díaz, S., Engelbrecht, B.M.J., Harms, K.E., Hubbell, S.P., Marks, C.O., Ruiz-Jaen, M.C., Salvador, C.M. &amp; Zanne, A.E. (2010) Functional traits and the growth–mortality trade-off in tropical trees. </w:t>
      </w:r>
      <w:r w:rsidRPr="00D27654">
        <w:rPr>
          <w:rFonts w:ascii="Calibri" w:hAnsi="Calibri"/>
          <w:i/>
          <w:iCs/>
        </w:rPr>
        <w:t>Ecology</w:t>
      </w:r>
      <w:r w:rsidRPr="00D27654">
        <w:rPr>
          <w:rFonts w:ascii="Calibri" w:hAnsi="Calibri"/>
        </w:rPr>
        <w:t xml:space="preserve">, </w:t>
      </w:r>
      <w:r w:rsidRPr="00D27654">
        <w:rPr>
          <w:rFonts w:ascii="Calibri" w:hAnsi="Calibri"/>
          <w:b/>
          <w:bCs/>
        </w:rPr>
        <w:t>91</w:t>
      </w:r>
      <w:r w:rsidRPr="00D27654">
        <w:rPr>
          <w:rFonts w:ascii="Calibri" w:hAnsi="Calibri"/>
        </w:rPr>
        <w:t>, 3664–3674.</w:t>
      </w:r>
    </w:p>
    <w:p w:rsidR="00D27654" w:rsidRPr="00D27654" w:rsidRDefault="00D27654" w:rsidP="00D27654">
      <w:pPr>
        <w:pStyle w:val="Bibliography"/>
        <w:rPr>
          <w:rFonts w:ascii="Calibri" w:hAnsi="Calibri"/>
        </w:rPr>
      </w:pPr>
      <w:r w:rsidRPr="00D27654">
        <w:rPr>
          <w:rFonts w:ascii="Calibri" w:hAnsi="Calibri"/>
        </w:rPr>
        <w:t xml:space="preserve">Young, T.P. (2010) Semelparity and iteroparity. </w:t>
      </w:r>
      <w:r w:rsidRPr="00D27654">
        <w:rPr>
          <w:rFonts w:ascii="Calibri" w:hAnsi="Calibri"/>
          <w:i/>
          <w:iCs/>
        </w:rPr>
        <w:t>Nature Education Knowledge</w:t>
      </w:r>
      <w:r w:rsidRPr="00D27654">
        <w:rPr>
          <w:rFonts w:ascii="Calibri" w:hAnsi="Calibri"/>
        </w:rPr>
        <w:t xml:space="preserve">, </w:t>
      </w:r>
      <w:r w:rsidRPr="00D27654">
        <w:rPr>
          <w:rFonts w:ascii="Calibri" w:hAnsi="Calibri"/>
          <w:b/>
          <w:bCs/>
        </w:rPr>
        <w:t>3</w:t>
      </w:r>
      <w:r w:rsidRPr="00D27654">
        <w:rPr>
          <w:rFonts w:ascii="Calibri" w:hAnsi="Calibri"/>
        </w:rPr>
        <w:t>, 2.</w:t>
      </w:r>
    </w:p>
    <w:p w:rsidR="00547A4A" w:rsidRDefault="008A4174" w:rsidP="00547A4A">
      <w:r>
        <w:rPr>
          <w:i/>
        </w:rPr>
        <w:fldChar w:fldCharType="end"/>
      </w:r>
      <w:r w:rsidR="00547A4A" w:rsidRPr="00547A4A">
        <w:t xml:space="preserve"> </w:t>
      </w:r>
      <w:r w:rsidR="00547A4A">
        <w:t>These factors, and others, have been addressed in theoretical models, seeking to understand how the optimal allocation of energy to growth versus reproduction shifts as an individual grows and ages and under what conditions the outcome is indeterminate growth and multiple reproductive events (###).</w:t>
      </w:r>
    </w:p>
    <w:p w:rsidR="00513658" w:rsidRPr="001153EE" w:rsidRDefault="00513658" w:rsidP="00513658">
      <w:r>
        <w:lastRenderedPageBreak/>
        <w:t xml:space="preserve">However, with increasing plant size, the energy expenditure to replace shed leaves and stems, becomes an ever larger proportion of a plant’s total energy budget. While the proportion of </w:t>
      </w:r>
      <w:r w:rsidRPr="00E837AA">
        <w:rPr>
          <w:i/>
        </w:rPr>
        <w:t>surplus energy</w:t>
      </w:r>
      <w:r>
        <w:t xml:space="preserve"> allocated to reproduction may continue to increase throughout a plant’s life, the proportion of its pre-maintenance energy pool may display a different trajectory. A more inclusive calculation of RA presents several potential benefits. First, it presents a more holistic view of energy expenditure to vegetative versus reproductive materials, presenting the possibility that reproductive investment increases as a proportion of total energy investment rather than as a proportion of surplus energy. Phrased alternatively, a plant may be making decisions of energy allocation to reproduction versus vegetative material based on its energy pool prior to replacing shed tissue. This in turn allows for the possible outcome that a plant’s vegetative mass ceases to increase at some size or age, as tissue replacement becomes so high that it consumes the entire energy budget for vegetative tissues. In such instances, the plant should be categorized as displaying determinate growth, yet, contrary to convention, would not have reached its end of life. In more extreme instances, a plant’s reproductive investment may be sufficiently large to leave insufficient energy to replace all shed tissues, leading to a </w:t>
      </w:r>
      <w:r>
        <w:rPr>
          <w:i/>
        </w:rPr>
        <w:t xml:space="preserve">decrease </w:t>
      </w:r>
      <w:r>
        <w:t xml:space="preserve">in plant size year-upon-year. Decreasing leaf area cannot be a long-term strategy, but may allow a plant to have higher reproductive output for several years at the end of its life. If a plant ceases to increase its vegetative size, RA, calculated as a proportion of </w:t>
      </w:r>
      <w:r>
        <w:rPr>
          <w:i/>
        </w:rPr>
        <w:t>surplus energy</w:t>
      </w:r>
      <w:r>
        <w:t xml:space="preserve"> reaches 1 and if a plant’s vegetative size declines, RA exceeds 1. If plants display such growth trajectories, the conventional RA calculation will not accurately depict a plant’s energy allocation decisions. </w:t>
      </w:r>
    </w:p>
    <w:p w:rsidR="00513658" w:rsidRPr="00BF51E3" w:rsidRDefault="00513658" w:rsidP="00513658">
      <w:r>
        <w:t>Yearly leaf replacement</w:t>
      </w:r>
    </w:p>
    <w:p w:rsidR="008A4174" w:rsidRPr="00757124" w:rsidRDefault="008A4174" w:rsidP="004B53F8">
      <w:pPr>
        <w:rPr>
          <w:i/>
        </w:rPr>
      </w:pPr>
    </w:p>
    <w:sectPr w:rsidR="008A4174" w:rsidRPr="00757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35D8A"/>
    <w:multiLevelType w:val="hybridMultilevel"/>
    <w:tmpl w:val="6CEC2B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D20ED1"/>
    <w:multiLevelType w:val="hybridMultilevel"/>
    <w:tmpl w:val="8FDED162"/>
    <w:lvl w:ilvl="0" w:tplc="8932CE9E">
      <w:numFmt w:val="bullet"/>
      <w:lvlText w:val="-"/>
      <w:lvlJc w:val="left"/>
      <w:pPr>
        <w:ind w:left="720" w:hanging="360"/>
      </w:pPr>
      <w:rPr>
        <w:rFonts w:ascii="Calibri" w:eastAsiaTheme="minorHAnsi" w:hAnsi="Calibri" w:cstheme="minorBidi" w:hint="default"/>
      </w:rPr>
    </w:lvl>
    <w:lvl w:ilvl="1" w:tplc="49824F08">
      <w:numFmt w:val="bullet"/>
      <w:lvlText w:val=""/>
      <w:lvlJc w:val="left"/>
      <w:pPr>
        <w:ind w:left="1440" w:hanging="360"/>
      </w:pPr>
      <w:rPr>
        <w:rFonts w:ascii="Symbol" w:eastAsiaTheme="minorHAnsi" w:hAnsi="Symbol"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F959BF"/>
    <w:multiLevelType w:val="hybridMultilevel"/>
    <w:tmpl w:val="74C2CE06"/>
    <w:lvl w:ilvl="0" w:tplc="07E4F41C">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A50634"/>
    <w:multiLevelType w:val="hybridMultilevel"/>
    <w:tmpl w:val="2E7EDD82"/>
    <w:lvl w:ilvl="0" w:tplc="EEB896B4">
      <w:numFmt w:val="bullet"/>
      <w:lvlText w:val=""/>
      <w:lvlJc w:val="left"/>
      <w:pPr>
        <w:ind w:left="644"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3F31A4"/>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5401"/>
    <w:multiLevelType w:val="hybridMultilevel"/>
    <w:tmpl w:val="F9B09716"/>
    <w:lvl w:ilvl="0" w:tplc="BBA8D23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36F4AD1"/>
    <w:multiLevelType w:val="hybridMultilevel"/>
    <w:tmpl w:val="F7028DC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56A3165"/>
    <w:multiLevelType w:val="hybridMultilevel"/>
    <w:tmpl w:val="7946D00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4"/>
  </w:num>
  <w:num w:numId="5">
    <w:abstractNumId w:val="6"/>
  </w:num>
  <w:num w:numId="6">
    <w:abstractNumId w:val="0"/>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032"/>
    <w:rsid w:val="000032FA"/>
    <w:rsid w:val="000C3A09"/>
    <w:rsid w:val="000D04B0"/>
    <w:rsid w:val="001153EE"/>
    <w:rsid w:val="0017621A"/>
    <w:rsid w:val="0019366B"/>
    <w:rsid w:val="001B2262"/>
    <w:rsid w:val="00250722"/>
    <w:rsid w:val="00253A53"/>
    <w:rsid w:val="002552CA"/>
    <w:rsid w:val="00266B46"/>
    <w:rsid w:val="00341F32"/>
    <w:rsid w:val="00351D46"/>
    <w:rsid w:val="003E06B6"/>
    <w:rsid w:val="00443CD1"/>
    <w:rsid w:val="004B53F8"/>
    <w:rsid w:val="004D3EBD"/>
    <w:rsid w:val="00502BAB"/>
    <w:rsid w:val="00513658"/>
    <w:rsid w:val="005154A4"/>
    <w:rsid w:val="00547A4A"/>
    <w:rsid w:val="0057166D"/>
    <w:rsid w:val="00596552"/>
    <w:rsid w:val="005E0B93"/>
    <w:rsid w:val="005E6C4A"/>
    <w:rsid w:val="00624F81"/>
    <w:rsid w:val="006C65C4"/>
    <w:rsid w:val="006C675D"/>
    <w:rsid w:val="0070388E"/>
    <w:rsid w:val="007047BC"/>
    <w:rsid w:val="0071474E"/>
    <w:rsid w:val="00714DB8"/>
    <w:rsid w:val="00757124"/>
    <w:rsid w:val="00785C27"/>
    <w:rsid w:val="00792EAE"/>
    <w:rsid w:val="007A257F"/>
    <w:rsid w:val="007A6B12"/>
    <w:rsid w:val="007B5320"/>
    <w:rsid w:val="007E016E"/>
    <w:rsid w:val="008820E7"/>
    <w:rsid w:val="008A4174"/>
    <w:rsid w:val="0090272C"/>
    <w:rsid w:val="00912F71"/>
    <w:rsid w:val="009263C4"/>
    <w:rsid w:val="00936245"/>
    <w:rsid w:val="00A054A1"/>
    <w:rsid w:val="00A14E06"/>
    <w:rsid w:val="00A340BD"/>
    <w:rsid w:val="00A75447"/>
    <w:rsid w:val="00AB4E1F"/>
    <w:rsid w:val="00AC7281"/>
    <w:rsid w:val="00B26B66"/>
    <w:rsid w:val="00B866E9"/>
    <w:rsid w:val="00BB50BC"/>
    <w:rsid w:val="00BC6580"/>
    <w:rsid w:val="00BD5089"/>
    <w:rsid w:val="00BF51E3"/>
    <w:rsid w:val="00C306E1"/>
    <w:rsid w:val="00C569BB"/>
    <w:rsid w:val="00C86540"/>
    <w:rsid w:val="00C95032"/>
    <w:rsid w:val="00CA18E0"/>
    <w:rsid w:val="00CC215D"/>
    <w:rsid w:val="00CD7DC7"/>
    <w:rsid w:val="00D05870"/>
    <w:rsid w:val="00D27654"/>
    <w:rsid w:val="00D279A7"/>
    <w:rsid w:val="00D456E0"/>
    <w:rsid w:val="00D649DA"/>
    <w:rsid w:val="00D80492"/>
    <w:rsid w:val="00E30D35"/>
    <w:rsid w:val="00E401CD"/>
    <w:rsid w:val="00E42E8B"/>
    <w:rsid w:val="00E837AA"/>
    <w:rsid w:val="00ED6D6E"/>
    <w:rsid w:val="00EF009E"/>
    <w:rsid w:val="00EF05D4"/>
    <w:rsid w:val="00F123A9"/>
    <w:rsid w:val="00F16B6A"/>
    <w:rsid w:val="00F37ECE"/>
    <w:rsid w:val="00F72A60"/>
    <w:rsid w:val="00F73634"/>
    <w:rsid w:val="00FB2CEE"/>
    <w:rsid w:val="00FB42A7"/>
    <w:rsid w:val="00FD5B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4A7E-8288-480C-A335-1E78CF16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0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01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CD"/>
    <w:pPr>
      <w:ind w:left="720"/>
      <w:contextualSpacing/>
    </w:pPr>
  </w:style>
  <w:style w:type="character" w:customStyle="1" w:styleId="Heading2Char">
    <w:name w:val="Heading 2 Char"/>
    <w:basedOn w:val="DefaultParagraphFont"/>
    <w:link w:val="Heading2"/>
    <w:uiPriority w:val="9"/>
    <w:rsid w:val="00E401C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401CD"/>
    <w:rPr>
      <w:sz w:val="16"/>
      <w:szCs w:val="16"/>
    </w:rPr>
  </w:style>
  <w:style w:type="paragraph" w:styleId="CommentText">
    <w:name w:val="annotation text"/>
    <w:basedOn w:val="Normal"/>
    <w:link w:val="CommentTextChar"/>
    <w:uiPriority w:val="99"/>
    <w:semiHidden/>
    <w:unhideWhenUsed/>
    <w:rsid w:val="00E401CD"/>
    <w:pPr>
      <w:spacing w:line="240" w:lineRule="auto"/>
    </w:pPr>
    <w:rPr>
      <w:sz w:val="20"/>
      <w:szCs w:val="20"/>
    </w:rPr>
  </w:style>
  <w:style w:type="character" w:customStyle="1" w:styleId="CommentTextChar">
    <w:name w:val="Comment Text Char"/>
    <w:basedOn w:val="DefaultParagraphFont"/>
    <w:link w:val="CommentText"/>
    <w:uiPriority w:val="99"/>
    <w:semiHidden/>
    <w:rsid w:val="00E401CD"/>
    <w:rPr>
      <w:sz w:val="20"/>
      <w:szCs w:val="20"/>
    </w:rPr>
  </w:style>
  <w:style w:type="paragraph" w:styleId="BalloonText">
    <w:name w:val="Balloon Text"/>
    <w:basedOn w:val="Normal"/>
    <w:link w:val="BalloonTextChar"/>
    <w:uiPriority w:val="99"/>
    <w:semiHidden/>
    <w:unhideWhenUsed/>
    <w:rsid w:val="00E401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1CD"/>
    <w:rPr>
      <w:rFonts w:ascii="Segoe UI" w:hAnsi="Segoe UI" w:cs="Segoe UI"/>
      <w:sz w:val="18"/>
      <w:szCs w:val="18"/>
    </w:rPr>
  </w:style>
  <w:style w:type="character" w:customStyle="1" w:styleId="Heading1Char">
    <w:name w:val="Heading 1 Char"/>
    <w:basedOn w:val="DefaultParagraphFont"/>
    <w:link w:val="Heading1"/>
    <w:uiPriority w:val="9"/>
    <w:rsid w:val="00E401CD"/>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A417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8760</TotalTime>
  <Pages>7</Pages>
  <Words>7639</Words>
  <Characters>43546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15</cp:revision>
  <dcterms:created xsi:type="dcterms:W3CDTF">2016-08-22T23:41:00Z</dcterms:created>
  <dcterms:modified xsi:type="dcterms:W3CDTF">2016-12-15T22:30:00Z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id="WWGnStro"/&gt;&lt;style id="http://www.zotero.org/styles/journal-of-ecology"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