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32" w:rsidRDefault="00A75447">
      <w:r>
        <w:t>Big questions:</w:t>
      </w:r>
    </w:p>
    <w:p w:rsidR="00A14E06" w:rsidRDefault="00A14E06" w:rsidP="00A14E06">
      <w:pPr>
        <w:pStyle w:val="ListParagraph"/>
        <w:numPr>
          <w:ilvl w:val="0"/>
          <w:numId w:val="5"/>
        </w:numPr>
      </w:pPr>
      <w:r>
        <w:t>Do we incorporate any other data – change in height growth with reproductive onset, change in shoot extension (or new shoot leaf area). Many other factors also shift with plant age.</w:t>
      </w:r>
    </w:p>
    <w:p w:rsidR="00C95032" w:rsidRDefault="00C95032" w:rsidP="00E401CD">
      <w:pPr>
        <w:pStyle w:val="Heading1"/>
      </w:pPr>
      <w:r>
        <w:t>Introduction</w:t>
      </w:r>
    </w:p>
    <w:p w:rsidR="00596552" w:rsidRDefault="007B5320" w:rsidP="007A6B12">
      <w:r>
        <w:t>A fundamental trade-off faced by all organisms is how to partition available energy into growth versus reproduction</w:t>
      </w:r>
      <w:r w:rsidR="008A4174">
        <w:t xml:space="preserve"> </w:t>
      </w:r>
      <w:r w:rsidR="008A4174">
        <w:fldChar w:fldCharType="begin"/>
      </w:r>
      <w:r w:rsidR="00F73634">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8A4174">
        <w:fldChar w:fldCharType="separate"/>
      </w:r>
      <w:r w:rsidR="00F73634" w:rsidRPr="00F73634">
        <w:rPr>
          <w:rFonts w:ascii="Calibri" w:hAnsi="Calibri" w:cs="Times New Roman"/>
          <w:szCs w:val="24"/>
        </w:rPr>
        <w:t xml:space="preserve">(Obeso 2002; 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2005; Weiner </w:t>
      </w:r>
      <w:r w:rsidR="00F73634" w:rsidRPr="00F73634">
        <w:rPr>
          <w:rFonts w:ascii="Calibri" w:hAnsi="Calibri" w:cs="Times New Roman"/>
          <w:i/>
          <w:iCs/>
          <w:szCs w:val="24"/>
        </w:rPr>
        <w:t>et al.</w:t>
      </w:r>
      <w:r w:rsidR="00F73634" w:rsidRPr="00F73634">
        <w:rPr>
          <w:rFonts w:ascii="Calibri" w:hAnsi="Calibri" w:cs="Times New Roman"/>
          <w:szCs w:val="24"/>
        </w:rPr>
        <w:t xml:space="preserve"> 2009; Wenk &amp; Falster 2015)</w:t>
      </w:r>
      <w:r w:rsidR="008A4174">
        <w:fldChar w:fldCharType="end"/>
      </w:r>
      <w:r>
        <w:t xml:space="preserve">. </w:t>
      </w:r>
      <w:r w:rsidR="008A4174">
        <w:t>G</w:t>
      </w:r>
      <w:r w:rsidR="007A6B12">
        <w:t xml:space="preserve">reater </w:t>
      </w:r>
      <w:r w:rsidR="00C86540">
        <w:t>investment in growth translates to</w:t>
      </w:r>
      <w:r w:rsidR="00250722">
        <w:t xml:space="preserve"> more</w:t>
      </w:r>
      <w:r w:rsidR="00250722" w:rsidRPr="00250722">
        <w:t xml:space="preserve"> </w:t>
      </w:r>
      <w:r w:rsidR="00250722">
        <w:t xml:space="preserve">rapid height increases and greater leaf area, </w:t>
      </w:r>
      <w:r w:rsidR="00A14E06">
        <w:t xml:space="preserve">resulting in greater access to light and higher photosynthetic yield, in turn </w:t>
      </w:r>
      <w:r w:rsidR="00250722">
        <w:t>leading to</w:t>
      </w:r>
      <w:r w:rsidR="00C86540">
        <w:t xml:space="preserve"> improved competitive outcomes </w:t>
      </w:r>
      <w:r w:rsidR="007A6B12">
        <w:t xml:space="preserve">and consequently higher </w:t>
      </w:r>
      <w:r w:rsidR="00D05870">
        <w:t>survival</w:t>
      </w:r>
      <w:r w:rsidR="00F73634">
        <w:t xml:space="preserve"> </w:t>
      </w:r>
      <w:r w:rsidR="00F73634">
        <w:fldChar w:fldCharType="begin"/>
      </w:r>
      <w:r w:rsidR="00F73634">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00F73634">
        <w:fldChar w:fldCharType="separate"/>
      </w:r>
      <w:r w:rsidR="00F73634" w:rsidRPr="00F73634">
        <w:rPr>
          <w:rFonts w:ascii="Calibri" w:hAnsi="Calibri" w:cs="Times New Roman"/>
          <w:szCs w:val="24"/>
        </w:rPr>
        <w:t xml:space="preserve">(Wright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2010)</w:t>
      </w:r>
      <w:r w:rsidR="00F73634">
        <w:fldChar w:fldCharType="end"/>
      </w:r>
      <w:r w:rsidR="00D05870">
        <w:t>. In contrast, reproductive production directly</w:t>
      </w:r>
      <w:r w:rsidR="00A14E06">
        <w:t xml:space="preserve"> and immediately</w:t>
      </w:r>
      <w:r w:rsidR="00D05870">
        <w:t xml:space="preserve"> increases fitness through seed production. </w:t>
      </w:r>
      <w:r w:rsidR="00FB42A7">
        <w:t xml:space="preserve">Early </w:t>
      </w:r>
      <w:r w:rsidR="00E401CD">
        <w:t xml:space="preserve">theoretical explorations of this trade-off suggest an individual’s fitness is always maximized by first investing solely in growth and then </w:t>
      </w:r>
      <w:r w:rsidR="007A6B12">
        <w:t xml:space="preserve">ceasing growth and </w:t>
      </w:r>
      <w:r w:rsidR="00E401CD">
        <w:t>having a single year of reproduction</w:t>
      </w:r>
      <w:r w:rsidR="007A6B12">
        <w:t xml:space="preserve"> followed by death</w:t>
      </w:r>
      <w:r w:rsidR="00E401CD">
        <w:t xml:space="preserve"> </w:t>
      </w:r>
      <w:r w:rsidR="007A6B12">
        <w:fldChar w:fldCharType="begin"/>
      </w:r>
      <w:r w:rsidR="007A6B12">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7A6B12">
        <w:fldChar w:fldCharType="separate"/>
      </w:r>
      <w:r w:rsidR="007A6B12" w:rsidRPr="007A6B12">
        <w:rPr>
          <w:rFonts w:ascii="Calibri" w:hAnsi="Calibri"/>
        </w:rPr>
        <w:t>(Cole 1954)</w:t>
      </w:r>
      <w:r w:rsidR="007A6B12">
        <w:fldChar w:fldCharType="end"/>
      </w:r>
      <w:r w:rsidR="007A6B12">
        <w:t>, termed the big-bang strategy</w:t>
      </w:r>
      <w:r w:rsidR="00FB42A7">
        <w:t>. However,</w:t>
      </w:r>
      <w:r w:rsidR="00FB42A7" w:rsidRPr="00FB42A7">
        <w:t xml:space="preserve"> </w:t>
      </w:r>
      <w:r w:rsidR="00FB42A7">
        <w:t xml:space="preserve">perennial plants, excepting a small number of specialized species </w:t>
      </w:r>
      <w:r w:rsidR="00FB42A7">
        <w:fldChar w:fldCharType="begin"/>
      </w:r>
      <w:r w:rsidR="00FB42A7">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FB42A7">
        <w:fldChar w:fldCharType="separate"/>
      </w:r>
      <w:r w:rsidR="00FB42A7" w:rsidRPr="0071474E">
        <w:rPr>
          <w:rFonts w:ascii="Calibri" w:hAnsi="Calibri"/>
        </w:rPr>
        <w:t>(Young 2010; Thomas 2011)</w:t>
      </w:r>
      <w:r w:rsidR="00FB42A7">
        <w:fldChar w:fldCharType="end"/>
      </w:r>
      <w:r w:rsidR="00FB42A7">
        <w:t xml:space="preserve">, </w:t>
      </w:r>
      <w:r w:rsidR="007A6B12">
        <w:t>exhibit a more nuanced transition of resources from growth to reproduction and have many years of simultaneous growth and reproduction</w:t>
      </w:r>
      <w:r w:rsidR="00A14E06">
        <w:t xml:space="preserve">, </w:t>
      </w:r>
      <w:r w:rsidR="00FB42A7">
        <w:t xml:space="preserve">termed </w:t>
      </w:r>
      <w:r w:rsidR="00A14E06">
        <w:t xml:space="preserve">an iteroparous life history strategy. Moreover, </w:t>
      </w:r>
      <w:r w:rsidR="00FB42A7">
        <w:t xml:space="preserve">they </w:t>
      </w:r>
      <w:r w:rsidR="0071474E">
        <w:t xml:space="preserve">are </w:t>
      </w:r>
      <w:r w:rsidR="00547A4A">
        <w:t xml:space="preserve">considered to </w:t>
      </w:r>
      <w:r w:rsidR="00A14E06">
        <w:t>display indeterminate growth, continuing to increase in size until death.</w:t>
      </w:r>
      <w:r w:rsidR="000C3A09" w:rsidRPr="000C3A09">
        <w:t xml:space="preserve"> </w:t>
      </w:r>
    </w:p>
    <w:p w:rsidR="0071474E" w:rsidRDefault="00D456E0" w:rsidP="0071474E">
      <w:r>
        <w:t xml:space="preserve">Quantifying the lifetime pattern of relative investment in vegetative versus reproductive tissues is a prerequisite to diverse research questions including parameterizing growth models, modelling global energy sinks, and describing what tissue types are present to consumers and decomposers within an ecosystem. Despite the obvious importance of </w:t>
      </w:r>
      <w:r w:rsidR="00FB42A7">
        <w:t>investment patterns</w:t>
      </w:r>
      <w:r>
        <w:t xml:space="preserve">, there </w:t>
      </w:r>
      <w:r w:rsidR="00B26B66">
        <w:t xml:space="preserve">are </w:t>
      </w:r>
      <w:r>
        <w:t xml:space="preserve">a quite limited number of species for which </w:t>
      </w:r>
      <w:r w:rsidR="00FB42A7">
        <w:t xml:space="preserve">we know the </w:t>
      </w:r>
      <w:r>
        <w:t>lifetime energy allocation to reproductive versus vegetative tissues (reviewed in Weiner 2009, Wenk &amp; Falster 2015) and no community-level studies exist.</w:t>
      </w:r>
      <w:r w:rsidR="00596552">
        <w:t xml:space="preserve"> </w:t>
      </w:r>
      <w:r w:rsidR="00E42E8B">
        <w:t xml:space="preserve">Moreover, these studies differ in how energy allocation to vegetative and reproductive tissues is calculated, potentially leading to quite disparate values for tissue investment. </w:t>
      </w:r>
      <w:r w:rsidR="00341F32">
        <w:t>As a result of the paucity of data it is difficult to identify if there are trends in shifts in relative investment to different tissue types across species with different functional traits or within individuals as they grow and age.</w:t>
      </w:r>
    </w:p>
    <w:p w:rsidR="00341F32" w:rsidRDefault="00502BAB" w:rsidP="00ED6D6E">
      <w:r>
        <w:t>In both empirical datasets and theoretical work, t</w:t>
      </w:r>
      <w:r w:rsidR="003E06B6">
        <w:t xml:space="preserve">he growth-reproduction trade-off </w:t>
      </w:r>
      <w:r w:rsidR="00547A4A">
        <w:t xml:space="preserve">is </w:t>
      </w:r>
      <w:r>
        <w:t xml:space="preserve">most frequently </w:t>
      </w:r>
      <w:r w:rsidR="003E06B6">
        <w:t>quantified as r</w:t>
      </w:r>
      <w:r w:rsidR="0017621A">
        <w:t>eproductive allocation (RA)</w:t>
      </w:r>
      <w:r w:rsidR="003E06B6">
        <w:t xml:space="preserve">, </w:t>
      </w:r>
      <w:r w:rsidR="0017621A">
        <w:t>the relative proportion of surplus energy that is invested in reproduction (versus growth, storage, and defence) in a given year</w:t>
      </w:r>
      <w:r w:rsidR="00547A4A">
        <w:t xml:space="preserve"> </w:t>
      </w:r>
      <w:r w:rsidR="00F37ECE">
        <w:fldChar w:fldCharType="begin"/>
      </w:r>
      <w:r w:rsidR="00F37ECE">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00F37ECE">
        <w:fldChar w:fldCharType="separate"/>
      </w:r>
      <w:r w:rsidR="00F37ECE" w:rsidRPr="00F37ECE">
        <w:rPr>
          <w:rFonts w:ascii="Calibri" w:hAnsi="Calibri" w:cs="Times New Roman"/>
          <w:szCs w:val="24"/>
        </w:rPr>
        <w:t>(Thornley 1972; de Wit 1978; Kozlowski 1992; Mäkelä 1997)</w:t>
      </w:r>
      <w:r w:rsidR="00F37ECE">
        <w:fldChar w:fldCharType="end"/>
      </w:r>
      <w:r w:rsidR="003E06B6">
        <w:t xml:space="preserve">. </w:t>
      </w:r>
      <w:r w:rsidR="003E06B6" w:rsidRPr="003E06B6">
        <w:rPr>
          <w:i/>
        </w:rPr>
        <w:t>S</w:t>
      </w:r>
      <w:r w:rsidR="0017621A">
        <w:rPr>
          <w:i/>
        </w:rPr>
        <w:t>urplus energy</w:t>
      </w:r>
      <w:r w:rsidR="0017621A">
        <w:t xml:space="preserve"> is defined as the energy remaining</w:t>
      </w:r>
      <w:r w:rsidR="00A054A1">
        <w:t xml:space="preserve"> after </w:t>
      </w:r>
      <w:r>
        <w:t xml:space="preserve">so-called maintenance costs, the energy </w:t>
      </w:r>
      <w:r w:rsidR="00FB42A7">
        <w:t xml:space="preserve">diverted </w:t>
      </w:r>
      <w:r>
        <w:t xml:space="preserve">to replace </w:t>
      </w:r>
      <w:r w:rsidR="00A054A1">
        <w:t xml:space="preserve">shed </w:t>
      </w:r>
      <w:r w:rsidR="00ED6D6E">
        <w:t xml:space="preserve">vegetative </w:t>
      </w:r>
      <w:r w:rsidR="00A054A1">
        <w:t>tissues</w:t>
      </w:r>
      <w:r w:rsidR="0017621A">
        <w:t xml:space="preserve">. </w:t>
      </w:r>
      <w:r w:rsidR="007A257F">
        <w:t xml:space="preserve"> </w:t>
      </w:r>
      <w:r w:rsidR="00341F32">
        <w:t xml:space="preserve">Calculating </w:t>
      </w:r>
      <w:r>
        <w:t xml:space="preserve">RA </w:t>
      </w:r>
      <w:r w:rsidR="00341F32">
        <w:t xml:space="preserve">as a proportion of surplus energy </w:t>
      </w:r>
      <w:r>
        <w:t>makes the implicit assumption that a plant is first investing energy to maintain its current size and then divvying the remaining energy into fractions allocated to growth versus increase</w:t>
      </w:r>
      <w:r w:rsidR="00FB42A7">
        <w:t>d</w:t>
      </w:r>
      <w:r>
        <w:t xml:space="preserve"> vegetative size. </w:t>
      </w:r>
    </w:p>
    <w:p w:rsidR="00341F32" w:rsidRDefault="00ED6D6E" w:rsidP="00341F32">
      <w:r>
        <w:t>A lifetime plot of RA, termed a RA schedule, summarizes the growth-reproduction trade-off as a species grows and ages, showing how the outcome of the trade-off shifts with plant size. RA schedules vary notably in shape across species, with some species displaying a distinct asymptotic maximum RA value and others continuing to increase gradually in RA until death. A few species display declining RA schedules, with a decrease in RA among the oldest plants, interpreted as a mechanism for older plants to survive until their habitat becomes more favourable for high reproductive production and growth (refs###). In contrast to these graded RA schedules, b</w:t>
      </w:r>
      <w:r w:rsidR="00351D46">
        <w:t>i</w:t>
      </w:r>
      <w:r>
        <w:t xml:space="preserve">g-bang species display a sudden year-upon-year transition from investing all surplus energy in growth to </w:t>
      </w:r>
      <w:r>
        <w:lastRenderedPageBreak/>
        <w:t xml:space="preserve">reproduction, followed by death within months to a few years. </w:t>
      </w:r>
      <w:r w:rsidR="00BB50BC">
        <w:t>For all curves, as RA approaches 1, growth effectively ceases – the plant is continuing to invest sufficient energy in vegetative tissues to maintain its current stature and leaf area, but not to increase them.</w:t>
      </w:r>
      <w:r w:rsidR="00341F32">
        <w:t xml:space="preserve"> </w:t>
      </w:r>
      <w:r w:rsidR="00341F32">
        <w:t>Reproductive investment can also be summarized by reproductive value (RV) curves that plot total yearly reproductive investment against plant size, and show that for most perennial species, reproductive investment increases with plant size, asymptoting as plant’s age</w:t>
      </w:r>
      <w:r w:rsidR="00341F32">
        <w:t xml:space="preserve"> </w:t>
      </w:r>
      <w:r w:rsidR="00341F32">
        <w:fldChar w:fldCharType="begin"/>
      </w:r>
      <w:r w:rsidR="00341F32">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00341F32">
        <w:fldChar w:fldCharType="separate"/>
      </w:r>
      <w:r w:rsidR="00341F32" w:rsidRPr="00341F32">
        <w:rPr>
          <w:rFonts w:ascii="Calibri" w:hAnsi="Calibri" w:cs="Times New Roman"/>
          <w:szCs w:val="24"/>
        </w:rPr>
        <w:t xml:space="preserve">(Weiner </w:t>
      </w:r>
      <w:r w:rsidR="00341F32" w:rsidRPr="00341F32">
        <w:rPr>
          <w:rFonts w:ascii="Calibri" w:hAnsi="Calibri" w:cs="Times New Roman"/>
          <w:i/>
          <w:iCs/>
          <w:szCs w:val="24"/>
        </w:rPr>
        <w:t>et al.</w:t>
      </w:r>
      <w:r w:rsidR="00341F32" w:rsidRPr="00341F32">
        <w:rPr>
          <w:rFonts w:ascii="Calibri" w:hAnsi="Calibri" w:cs="Times New Roman"/>
          <w:szCs w:val="24"/>
        </w:rPr>
        <w:t xml:space="preserve"> 2009)</w:t>
      </w:r>
      <w:r w:rsidR="00341F32">
        <w:fldChar w:fldCharType="end"/>
      </w:r>
      <w:r w:rsidR="00341F32">
        <w:t>.</w:t>
      </w:r>
    </w:p>
    <w:p w:rsidR="00AC7281" w:rsidRDefault="00AC7281" w:rsidP="00AC7281">
      <w:r>
        <w:t xml:space="preserve">Optimal energy models have explored what factors lead to various graded RA schedules, showing that a gradual shift in resources from growth to reproduction is expected if environmental conditions are stochastic </w:t>
      </w:r>
      <w:r w:rsidRPr="0080171E">
        <w:rPr>
          <w:rFonts w:cs="Times New Roman"/>
        </w:rPr>
        <w:fldChar w:fldCharType="begin"/>
      </w:r>
      <w:r>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80171E">
        <w:rPr>
          <w:rFonts w:cs="Times New Roman"/>
        </w:rPr>
        <w:fldChar w:fldCharType="separate"/>
      </w:r>
      <w:r w:rsidRPr="003F6E27">
        <w:rPr>
          <w:rFonts w:hAnsi="Times New Roman" w:cs="Times New Roman"/>
        </w:rPr>
        <w:t>(King &amp; Roughgarden 1982)</w:t>
      </w:r>
      <w:r w:rsidRPr="0080171E">
        <w:rPr>
          <w:rFonts w:cs="Times New Roman"/>
        </w:rPr>
        <w:fldChar w:fldCharType="end"/>
      </w:r>
      <w:r>
        <w:rPr>
          <w:rFonts w:cs="Times New Roman"/>
        </w:rPr>
        <w:t xml:space="preserve"> or if </w:t>
      </w:r>
      <w:r>
        <w:t xml:space="preserve">the outcome of the growth-reproduction trade-off shifts with a factor that changes across individuals of different age, size, or other variable </w:t>
      </w:r>
      <w:r>
        <w:fldChar w:fldCharType="begin"/>
      </w:r>
      <w:r>
        <w:instrText xml:space="preserve"> ADDIN ZOTERO_ITEM CSL_CITATION {"citationID":"91JOzALo","properties":{"formattedCitation":"(Wenk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8A4174">
        <w:rPr>
          <w:rFonts w:ascii="Calibri" w:hAnsi="Calibri"/>
        </w:rPr>
        <w:t>(Wenk &amp; Falster 2015)</w:t>
      </w:r>
      <w:r>
        <w:fldChar w:fldCharType="end"/>
      </w:r>
      <w:r w:rsidR="00341F32">
        <w:t>,###refs</w:t>
      </w:r>
      <w:r>
        <w:t>. For instance, if mortality declines with size or size, it is optimal for individuals to invest more modestly in both growth and reproduction across multiple years (###). Declining photosynthetic rates with plant age (###), not being deciduous</w:t>
      </w:r>
      <w:r w:rsidR="00341F32">
        <w:t xml:space="preserve"> (refs###)</w:t>
      </w:r>
      <w:r>
        <w:t>, and relative declines in seed production at higher rates of reproductive investment</w:t>
      </w:r>
      <w:r w:rsidR="00341F32">
        <w:t xml:space="preserve"> </w:t>
      </w:r>
      <w:r w:rsidR="00341F32">
        <w:fldChar w:fldCharType="begin"/>
      </w:r>
      <w:r w:rsidR="00341F32">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00341F32">
        <w:fldChar w:fldCharType="separate"/>
      </w:r>
      <w:r w:rsidR="00341F32" w:rsidRPr="00341F32">
        <w:rPr>
          <w:rFonts w:ascii="Calibri" w:hAnsi="Calibri"/>
        </w:rPr>
        <w:t>(Miller, Tenhumberg &amp; Louda 2008)</w:t>
      </w:r>
      <w:r w:rsidR="00341F32">
        <w:fldChar w:fldCharType="end"/>
      </w:r>
      <w:r>
        <w:t xml:space="preserve"> have also been investigated as factors leading to simultaneous investment in growth and reproduction across multiple growing seasons. These theoretical explorations </w:t>
      </w:r>
      <w:r w:rsidR="0019366B">
        <w:t>indicate</w:t>
      </w:r>
      <w:r>
        <w:t xml:space="preserve"> that the shape of the RA schedule, age at reproductive maturity and the maximum RA achieved reflect species</w:t>
      </w:r>
      <w:r w:rsidR="0019366B">
        <w:t>’</w:t>
      </w:r>
      <w:r>
        <w:t xml:space="preserve"> life history strategies </w:t>
      </w:r>
      <w:r w:rsidR="0019366B">
        <w:t xml:space="preserve">(e.g. mortality, seed production) </w:t>
      </w:r>
      <w:r>
        <w:t xml:space="preserve">and </w:t>
      </w:r>
      <w:r w:rsidR="0019366B">
        <w:t xml:space="preserve">key </w:t>
      </w:r>
      <w:r>
        <w:t>functional trait values</w:t>
      </w:r>
      <w:r w:rsidR="0019366B">
        <w:t xml:space="preserve"> (e.g.</w:t>
      </w:r>
      <w:r>
        <w:t xml:space="preserve"> leaf lifespan, </w:t>
      </w:r>
      <w:r w:rsidR="0019366B">
        <w:t>photosynthetic capacity, height, seed size)</w:t>
      </w:r>
    </w:p>
    <w:p w:rsidR="00BB50BC" w:rsidRDefault="0019366B" w:rsidP="00FD5BB5">
      <w:r>
        <w:t>M</w:t>
      </w:r>
      <w:r w:rsidR="00BC6580">
        <w:t xml:space="preserve">odels have shown that RA is a sound way to illustrate the growth-reproduction trade-off, but </w:t>
      </w:r>
      <w:r w:rsidR="00A340BD">
        <w:t xml:space="preserve">neither they </w:t>
      </w:r>
      <w:bookmarkStart w:id="0" w:name="_GoBack"/>
      <w:bookmarkEnd w:id="0"/>
      <w:r w:rsidR="00BC6580">
        <w:t xml:space="preserve">how </w:t>
      </w:r>
      <w:r w:rsidR="00A340BD">
        <w:t>proportion of energy dedicated to tissue replacement versus surplus energy shifts</w:t>
      </w:r>
      <w:r w:rsidR="00BC6580">
        <w:t xml:space="preserve"> across or within species. Plant traits and plant size (or age) will impact the size of the surplus energy pool, by impacting tissue replacement costs and therefore the proportion of </w:t>
      </w:r>
      <w:r w:rsidR="00FD5BB5">
        <w:t>net photosynthetic yield that goes to surplus energy (versus tissue maintenance costs)</w:t>
      </w:r>
      <w:r w:rsidR="00BC6580">
        <w:t>.</w:t>
      </w:r>
      <w:r w:rsidR="00FD5BB5">
        <w:t xml:space="preserve"> Indeed,</w:t>
      </w:r>
      <w:r w:rsidR="008820E7">
        <w:t xml:space="preserve"> larger plants </w:t>
      </w:r>
      <w:r w:rsidR="00ED6D6E">
        <w:t xml:space="preserve">face an increasing cost of </w:t>
      </w:r>
      <w:r w:rsidR="00266B46">
        <w:t>replacing shed tissues and leaves</w:t>
      </w:r>
      <w:r w:rsidR="00ED6D6E">
        <w:t>, on an absolute and often proportional basis</w:t>
      </w:r>
      <w:r w:rsidR="00FD5BB5">
        <w:t xml:space="preserve">, as their ever-larger canopy of leaves and </w:t>
      </w:r>
      <w:r w:rsidR="0070388E">
        <w:t xml:space="preserve">framework </w:t>
      </w:r>
      <w:r w:rsidR="00FD5BB5">
        <w:t>of branches shed and need to be replaced</w:t>
      </w:r>
      <w:r w:rsidR="008820E7">
        <w:t xml:space="preserve">. </w:t>
      </w:r>
      <w:r w:rsidR="00BB50BC">
        <w:t>Plants with short leaf lifespans and large leaf canopies must invest a large</w:t>
      </w:r>
      <w:r w:rsidR="00351D46">
        <w:t>r</w:t>
      </w:r>
      <w:r w:rsidR="00BB50BC">
        <w:t xml:space="preserve"> proportion of their gross energy budget in leaf replacement, leaving </w:t>
      </w:r>
      <w:r w:rsidR="00351D46">
        <w:t xml:space="preserve">a relatively </w:t>
      </w:r>
      <w:r w:rsidR="00BB50BC">
        <w:t>smaller pool of surplus energy</w:t>
      </w:r>
      <w:r w:rsidR="00BB50BC">
        <w:t xml:space="preserve"> (refs###). However, these same plants often have higher photosynthetic yield, increasing their gross energy pool</w:t>
      </w:r>
      <w:r w:rsidR="0070388E">
        <w:t xml:space="preserve"> </w:t>
      </w:r>
      <w:r w:rsidR="0070388E">
        <w:t>(refs###)</w:t>
      </w:r>
      <w:r w:rsidR="00BB50BC">
        <w:t xml:space="preserve">. </w:t>
      </w:r>
      <w:r w:rsidR="0070388E">
        <w:t>Meanwhile, the</w:t>
      </w:r>
      <w:r w:rsidR="0070388E">
        <w:t xml:space="preserve"> observed decline in photosynthetic rates with age</w:t>
      </w:r>
      <w:r w:rsidR="0070388E">
        <w:t xml:space="preserve"> will decrease the available energy to divide between growth and reproduction</w:t>
      </w:r>
      <w:r w:rsidR="0070388E">
        <w:t xml:space="preserve"> (refs###).</w:t>
      </w:r>
      <w:r w:rsidR="0070388E">
        <w:t xml:space="preserve"> Overall, if the proportion of net primary production going to maintenance costs increases </w:t>
      </w:r>
      <w:r w:rsidR="00C569BB">
        <w:t xml:space="preserve">sharply with age, the surplus energy pool may rapidly asymptote – or even decline – impacting growth, reproductive investment, and RA. </w:t>
      </w:r>
      <w:r w:rsidR="00AC7281">
        <w:t xml:space="preserve">RV curves suggest that although reproductive investment plateaus with plant size, it does not decline, indicating that if surplus energy </w:t>
      </w:r>
      <w:r w:rsidR="00FB2CEE">
        <w:t>decreases as a proportion of NPP, the pool of energy available for vegetative growth maybe severely curtailed or non-existent long before a plant approaches its lifes-end.</w:t>
      </w:r>
    </w:p>
    <w:p w:rsidR="00912F71" w:rsidRDefault="00936245">
      <w:r>
        <w:t xml:space="preserve">Understanding how species differ in their energy investment in disparate tissue pools – and determining if the patterns reflect consistent differences in their trait values provides </w:t>
      </w:r>
      <w:r w:rsidRPr="00936245">
        <w:rPr>
          <w:highlight w:val="yellow"/>
        </w:rPr>
        <w:t>###</w:t>
      </w:r>
      <w:r>
        <w:t xml:space="preserve">. </w:t>
      </w:r>
      <w:r w:rsidR="003E06B6">
        <w:t xml:space="preserve">To this effect we have conducted a study in coastal heathland in eastern Australia, quantifying RA for 14 </w:t>
      </w:r>
      <w:r w:rsidR="00443CD1">
        <w:t xml:space="preserve">dominant </w:t>
      </w:r>
      <w:r w:rsidR="003E06B6">
        <w:t>perennial species at</w:t>
      </w:r>
      <w:r w:rsidR="00443CD1">
        <w:t xml:space="preserve"> 6 ages. These species differ</w:t>
      </w:r>
      <w:r w:rsidR="003E06B6">
        <w:t xml:space="preserve"> </w:t>
      </w:r>
      <w:r w:rsidR="00443CD1">
        <w:t xml:space="preserve">for a collection of key </w:t>
      </w:r>
      <w:r w:rsidR="003E06B6">
        <w:t xml:space="preserve">life history </w:t>
      </w:r>
      <w:r w:rsidR="00443CD1">
        <w:t xml:space="preserve">and functional </w:t>
      </w:r>
      <w:r w:rsidR="003E06B6">
        <w:t>traits</w:t>
      </w:r>
      <w:r w:rsidR="00443CD1">
        <w:t xml:space="preserve">, </w:t>
      </w:r>
      <w:r w:rsidR="003E06B6">
        <w:t xml:space="preserve">including lifespan, maximum height, </w:t>
      </w:r>
      <w:r w:rsidR="00443CD1">
        <w:t xml:space="preserve">specific leaf area, and leaf nitrogen content. These species are also </w:t>
      </w:r>
      <w:r w:rsidR="00912F71">
        <w:t xml:space="preserve">known to </w:t>
      </w:r>
      <w:r w:rsidR="00443CD1">
        <w:t>be iteroparous. For the members of this community, we ask:</w:t>
      </w:r>
    </w:p>
    <w:p w:rsidR="00F72A60" w:rsidRDefault="00F72A60" w:rsidP="00757124">
      <w:pPr>
        <w:pStyle w:val="ListParagraph"/>
        <w:numPr>
          <w:ilvl w:val="0"/>
          <w:numId w:val="4"/>
        </w:numPr>
      </w:pPr>
      <w:r>
        <w:t xml:space="preserve">How does </w:t>
      </w:r>
      <w:r w:rsidR="00785C27">
        <w:t xml:space="preserve">proportional </w:t>
      </w:r>
      <w:r>
        <w:t>energy investment into vegetative tissue replacement, vegetative tissue growth, and reproductive tissue investment shift as a species ages?</w:t>
      </w:r>
    </w:p>
    <w:p w:rsidR="00F72A60" w:rsidRDefault="00F72A60" w:rsidP="00F72A60">
      <w:pPr>
        <w:pStyle w:val="ListParagraph"/>
        <w:numPr>
          <w:ilvl w:val="1"/>
          <w:numId w:val="4"/>
        </w:numPr>
      </w:pPr>
      <w:r>
        <w:t>Is reproductive investment sufficiently high to impact growth?</w:t>
      </w:r>
    </w:p>
    <w:p w:rsidR="00F72A60" w:rsidRDefault="00FB2CEE" w:rsidP="00F72A60">
      <w:pPr>
        <w:pStyle w:val="ListParagraph"/>
        <w:numPr>
          <w:ilvl w:val="1"/>
          <w:numId w:val="4"/>
        </w:numPr>
      </w:pPr>
      <w:r>
        <w:lastRenderedPageBreak/>
        <w:t xml:space="preserve">Does the surplus energy pool </w:t>
      </w:r>
    </w:p>
    <w:p w:rsidR="00F72A60" w:rsidRDefault="00624F81" w:rsidP="00757124">
      <w:pPr>
        <w:pStyle w:val="ListParagraph"/>
        <w:numPr>
          <w:ilvl w:val="0"/>
          <w:numId w:val="4"/>
        </w:numPr>
      </w:pPr>
      <w:r>
        <w:t>Do differences in key RA schedule values, such as maximum RA and age at reproductive maturity, …</w:t>
      </w:r>
    </w:p>
    <w:p w:rsidR="00912F71" w:rsidRDefault="00912F71" w:rsidP="00912F71">
      <w:pPr>
        <w:pStyle w:val="ListParagraph"/>
        <w:numPr>
          <w:ilvl w:val="0"/>
          <w:numId w:val="4"/>
        </w:numPr>
      </w:pPr>
      <w:r>
        <w:t>Do species exhibit different RA schedules and do the observed RA schedules correlate with other life history data (lifespan, height, age at first reproduction)?</w:t>
      </w:r>
    </w:p>
    <w:p w:rsidR="00C95032" w:rsidRDefault="00C95032" w:rsidP="00E401CD">
      <w:pPr>
        <w:pStyle w:val="Heading1"/>
      </w:pPr>
      <w:r>
        <w:t>Methods</w:t>
      </w:r>
    </w:p>
    <w:p w:rsidR="00E401CD" w:rsidRDefault="00E401CD" w:rsidP="00E401CD">
      <w:pPr>
        <w:pStyle w:val="Heading2"/>
      </w:pPr>
      <w:r>
        <w:t>Study system</w:t>
      </w:r>
    </w:p>
    <w:p w:rsidR="00E401CD" w:rsidRDefault="00E401CD" w:rsidP="00E401CD">
      <w:r>
        <w:tab/>
        <w:t xml:space="preserve">This study was carried out in Kuring’gai National Park, just to the northeast of Sydney, Australia. </w:t>
      </w:r>
    </w:p>
    <w:p w:rsidR="00E401CD" w:rsidRDefault="00E401CD"/>
    <w:p w:rsidR="00E401CD" w:rsidRDefault="00E401CD" w:rsidP="00E401CD">
      <w:pPr>
        <w:pStyle w:val="ListParagraph"/>
        <w:numPr>
          <w:ilvl w:val="0"/>
          <w:numId w:val="1"/>
        </w:numPr>
      </w:pPr>
      <w:r>
        <w:t>Field Methods</w:t>
      </w:r>
    </w:p>
    <w:p w:rsidR="00E401CD" w:rsidRDefault="00E401CD" w:rsidP="00E401CD">
      <w:pPr>
        <w:pStyle w:val="ListParagraph"/>
        <w:numPr>
          <w:ilvl w:val="1"/>
          <w:numId w:val="1"/>
        </w:numPr>
      </w:pPr>
    </w:p>
    <w:p w:rsidR="00E401CD" w:rsidRDefault="00E401CD" w:rsidP="00E401CD">
      <w:pPr>
        <w:pStyle w:val="ListParagraph"/>
        <w:numPr>
          <w:ilvl w:val="0"/>
          <w:numId w:val="1"/>
        </w:numPr>
      </w:pPr>
      <w:r>
        <w:t>calculating RA based only on leaf investment and reproductive investment</w:t>
      </w:r>
    </w:p>
    <w:p w:rsidR="00E401CD" w:rsidRDefault="00E401CD" w:rsidP="00E401CD">
      <w:pPr>
        <w:pStyle w:val="ListParagraph"/>
        <w:numPr>
          <w:ilvl w:val="1"/>
          <w:numId w:val="1"/>
        </w:numPr>
      </w:pPr>
      <w:r>
        <w:t xml:space="preserve">including stem weight would cause RA to decrease dramatically for most species, because actual stem diameters and weights must continue to increase each year that any shoot growth occurs, even though the volume of functional wood (sapwood) may be stable or declining. </w:t>
      </w:r>
    </w:p>
    <w:p w:rsidR="0070388E" w:rsidRDefault="0070388E" w:rsidP="0070388E">
      <w:pPr>
        <w:pStyle w:val="ListParagraph"/>
        <w:numPr>
          <w:ilvl w:val="0"/>
          <w:numId w:val="1"/>
        </w:numPr>
      </w:pPr>
      <w:r>
        <w:t xml:space="preserve">We focus on the division of energy investment into leaf replacement, leaf growth, and reproduction, for two reasons. First, </w:t>
      </w:r>
      <w:r w:rsidR="00D279A7">
        <w:t xml:space="preserve">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rsidR="00C95032" w:rsidRDefault="00C95032" w:rsidP="00C306E1">
      <w:pPr>
        <w:pStyle w:val="Heading1"/>
      </w:pPr>
      <w:r>
        <w:t>Results</w:t>
      </w:r>
    </w:p>
    <w:p w:rsidR="00C306E1" w:rsidRDefault="00C306E1" w:rsidP="00C306E1">
      <w:pPr>
        <w:pStyle w:val="ListParagraph"/>
        <w:numPr>
          <w:ilvl w:val="0"/>
          <w:numId w:val="6"/>
        </w:numPr>
      </w:pPr>
      <w:r>
        <w:t>diverse RA values across species (Figure 1a)</w:t>
      </w:r>
    </w:p>
    <w:p w:rsidR="00C306E1" w:rsidRDefault="00C306E1" w:rsidP="00C306E1">
      <w:pPr>
        <w:pStyle w:val="ListParagraph"/>
        <w:numPr>
          <w:ilvl w:val="0"/>
          <w:numId w:val="6"/>
        </w:numPr>
      </w:pPr>
      <w:r>
        <w:t>all species show increase in RA with age (Figure 1b)</w:t>
      </w:r>
    </w:p>
    <w:p w:rsidR="00C306E1" w:rsidRDefault="00C306E1" w:rsidP="00C306E1">
      <w:pPr>
        <w:pStyle w:val="ListParagraph"/>
        <w:numPr>
          <w:ilvl w:val="0"/>
          <w:numId w:val="6"/>
        </w:numPr>
      </w:pPr>
      <w:r>
        <w:t>diverse RA schedules</w:t>
      </w:r>
      <w:r w:rsidR="00CD7DC7">
        <w:t xml:space="preserve"> across species – fit into predicted categories, some determinate others indeterminate</w:t>
      </w:r>
      <w:r>
        <w:t xml:space="preserve"> (Figure 2)</w:t>
      </w:r>
    </w:p>
    <w:p w:rsidR="00C306E1" w:rsidRDefault="00C306E1" w:rsidP="00C306E1">
      <w:pPr>
        <w:pStyle w:val="ListParagraph"/>
        <w:numPr>
          <w:ilvl w:val="0"/>
          <w:numId w:val="6"/>
        </w:numPr>
      </w:pPr>
      <w:r>
        <w:t>declining leaf area</w:t>
      </w:r>
      <w:r w:rsidR="00EF05D4">
        <w:t xml:space="preserve"> in many species; others plateau; a few keep increasing</w:t>
      </w:r>
      <w:r>
        <w:t xml:space="preserve"> (Figure 3)</w:t>
      </w:r>
    </w:p>
    <w:p w:rsidR="00EF009E" w:rsidRDefault="00EF009E" w:rsidP="00C306E1">
      <w:pPr>
        <w:pStyle w:val="ListParagraph"/>
        <w:numPr>
          <w:ilvl w:val="0"/>
          <w:numId w:val="6"/>
        </w:numPr>
      </w:pPr>
      <w:r>
        <w:t>For a limited number of species is reproductive investment strongly correlated with total plant size, suggesting RV curves do not capture the decisions being made by plants.</w:t>
      </w:r>
    </w:p>
    <w:p w:rsidR="00F16B6A" w:rsidRDefault="00443CD1">
      <w:r>
        <w:t>At the broadest level, a</w:t>
      </w:r>
      <w:r w:rsidR="00C95032">
        <w:t>ll species display a fundamentally identical trajectory of investment in leaves versus reproductive tissues as they grow and age</w:t>
      </w:r>
      <w:r>
        <w:t>: as</w:t>
      </w:r>
      <w:r w:rsidR="00C95032">
        <w:t xml:space="preserve"> seedlings and saplings they invest solely in stem and leaf growth, increasing rapidly in height and leaf area. </w:t>
      </w:r>
      <w:r>
        <w:t xml:space="preserve">They have high shoot extension rates and consequently high increase in leaf area per shoot. </w:t>
      </w:r>
      <w:r w:rsidR="00C95032">
        <w:t xml:space="preserve">At some age, notably different across the study species, plants reach reproductive maturity. As the plants initiate investment in reproductive material and </w:t>
      </w:r>
      <w:r w:rsidR="007B5320">
        <w:t xml:space="preserve">subsequently </w:t>
      </w:r>
      <w:r w:rsidR="00C95032">
        <w:t>increase allocation to reproduction</w:t>
      </w:r>
      <w:r>
        <w:t xml:space="preserve">, </w:t>
      </w:r>
      <w:r w:rsidR="00C95032">
        <w:t xml:space="preserve">they all show a marked decline in relative investment in leaf growth. </w:t>
      </w:r>
      <w:r w:rsidR="007B5320">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t>existing leaf area to increase investment</w:t>
      </w:r>
      <w:r w:rsidR="007B5320">
        <w:t xml:space="preserve"> in reproduction, as they fail to replace all leaves shed during the year. </w:t>
      </w:r>
    </w:p>
    <w:p w:rsidR="00443CD1" w:rsidRDefault="00443CD1">
      <w:r>
        <w:lastRenderedPageBreak/>
        <w:t>Although all study species broadly follow the same lifetime developmental pathway of investing first in height and leaf growth and later in reproduction</w:t>
      </w:r>
      <w:r w:rsidR="00F123A9">
        <w:t>, the magnitude and timing of their investment in different tissues types is diverse. Figure 1 plots investment in leaves versus reproductive materials for all study individuals</w:t>
      </w:r>
      <w:r w:rsidR="004B53F8">
        <w:t>, illustrating that different individuals of a species have notably different RA 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t>r many of the oldest individuals studied, indicating they are investing all available resources in reproduction.</w:t>
      </w:r>
    </w:p>
    <w:p w:rsidR="00A054A1" w:rsidRDefault="00D05870">
      <w:r>
        <w:t xml:space="preserve">The RA schedules for the 14 species suggest that the species have disparate life history strategies. </w:t>
      </w:r>
      <w:r w:rsidR="00A054A1">
        <w:t xml:space="preserve">Species RA schedules fall into five of the six curve types proposed: </w:t>
      </w:r>
      <w:r w:rsidR="00A054A1" w:rsidRPr="00A054A1">
        <w:t>big bang, asymptotic, gradual-determinate, gradual-indeterminate, and declining.</w:t>
      </w:r>
    </w:p>
    <w:p w:rsidR="00757124" w:rsidRDefault="00757124">
      <w:r>
        <w:t xml:space="preserve">Different study species show different leaf area trajectories with age (Figure 3). </w:t>
      </w:r>
    </w:p>
    <w:p w:rsidR="00A054A1" w:rsidRDefault="00A054A1"/>
    <w:p w:rsidR="00A054A1" w:rsidRDefault="00A054A1" w:rsidP="004B53F8">
      <w:pPr>
        <w:pStyle w:val="Heading1"/>
      </w:pPr>
      <w:r>
        <w:t>Discussion</w:t>
      </w:r>
    </w:p>
    <w:p w:rsidR="00C569BB" w:rsidRDefault="00C569BB" w:rsidP="00A054A1">
      <w:pPr>
        <w:pStyle w:val="ListParagraph"/>
        <w:numPr>
          <w:ilvl w:val="0"/>
          <w:numId w:val="3"/>
        </w:numPr>
      </w:pPr>
      <w:r>
        <w:t>For almost all species height continues to increases throughout life,  but for most species leaf area asymptotes within a few years of reproductive maturity and often declines for several years before an individual’s death.</w:t>
      </w:r>
    </w:p>
    <w:p w:rsidR="00CC215D" w:rsidRDefault="00CC215D" w:rsidP="00A054A1">
      <w:pPr>
        <w:pStyle w:val="ListParagraph"/>
        <w:numPr>
          <w:ilvl w:val="0"/>
          <w:numId w:val="3"/>
        </w:numPr>
      </w:pPr>
      <w:r>
        <w:t>Declining leaf area with age/size</w:t>
      </w:r>
    </w:p>
    <w:p w:rsidR="00A054A1" w:rsidRDefault="00A054A1" w:rsidP="00CC215D">
      <w:pPr>
        <w:pStyle w:val="ListParagraph"/>
        <w:numPr>
          <w:ilvl w:val="1"/>
          <w:numId w:val="3"/>
        </w:numPr>
      </w:pPr>
      <w:r>
        <w:t>notable how many species show a decline in leaf area within a year of initiating reproduction.</w:t>
      </w:r>
    </w:p>
    <w:p w:rsidR="00A054A1" w:rsidRDefault="00A054A1" w:rsidP="00CC215D">
      <w:pPr>
        <w:pStyle w:val="ListParagraph"/>
        <w:numPr>
          <w:ilvl w:val="2"/>
          <w:numId w:val="3"/>
        </w:numPr>
      </w:pPr>
      <w:r>
        <w:t>These species display a bang-bang schedule, but continue to survive for a number of year’s post reproductive onset, just with a continued year-upon-year decline in leaf area.</w:t>
      </w:r>
    </w:p>
    <w:p w:rsidR="00A054A1" w:rsidRDefault="00CC215D" w:rsidP="00CC215D">
      <w:pPr>
        <w:pStyle w:val="ListParagraph"/>
        <w:numPr>
          <w:ilvl w:val="1"/>
          <w:numId w:val="3"/>
        </w:numPr>
      </w:pPr>
      <w:r>
        <w:t>Two of the four species that are dominant canopy members late in succession</w:t>
      </w:r>
      <w:r w:rsidR="00A054A1">
        <w:t xml:space="preserve">, </w:t>
      </w:r>
      <w:r w:rsidR="00A054A1">
        <w:rPr>
          <w:i/>
        </w:rPr>
        <w:t xml:space="preserve">Hakea teretifolia </w:t>
      </w:r>
      <w:r w:rsidR="00A054A1">
        <w:t xml:space="preserve">and </w:t>
      </w:r>
      <w:r>
        <w:rPr>
          <w:i/>
        </w:rPr>
        <w:t>Petrophile pulchella</w:t>
      </w:r>
      <w:r>
        <w:t>,</w:t>
      </w:r>
      <w:r>
        <w:rPr>
          <w:i/>
        </w:rPr>
        <w:t xml:space="preserve"> </w:t>
      </w:r>
      <w:r>
        <w:t xml:space="preserve">are the only study species that continued to demonstrate strong investment in leaf area at 30 years of age. The other two canopy species, </w:t>
      </w:r>
      <w:r>
        <w:rPr>
          <w:i/>
        </w:rPr>
        <w:t xml:space="preserve">Banksia ericifolia </w:t>
      </w:r>
      <w:r>
        <w:t xml:space="preserve">and </w:t>
      </w:r>
      <w:r>
        <w:rPr>
          <w:i/>
        </w:rPr>
        <w:t>Persoonia lanceolata</w:t>
      </w:r>
      <w:r>
        <w:t xml:space="preserve">, have negative investment in leaf area at the oldest site, with many </w:t>
      </w:r>
      <w:r>
        <w:rPr>
          <w:i/>
        </w:rPr>
        <w:t xml:space="preserve">P. lanceolata </w:t>
      </w:r>
      <w:r>
        <w:t>individuals displaying minimal growth.</w:t>
      </w:r>
    </w:p>
    <w:p w:rsidR="00CC215D" w:rsidRDefault="00CC215D" w:rsidP="00CC215D">
      <w:pPr>
        <w:pStyle w:val="ListParagraph"/>
        <w:numPr>
          <w:ilvl w:val="1"/>
          <w:numId w:val="3"/>
        </w:numPr>
      </w:pPr>
      <w:r>
        <w:t xml:space="preserve">There are two additional understory species that continued to be common within the oldest site, </w:t>
      </w:r>
      <w:r>
        <w:rPr>
          <w:i/>
        </w:rPr>
        <w:t xml:space="preserve">Leucopogon </w:t>
      </w:r>
      <w:r>
        <w:t xml:space="preserve">and </w:t>
      </w:r>
      <w:r>
        <w:rPr>
          <w:i/>
        </w:rPr>
        <w:t>Epacris</w:t>
      </w:r>
      <w:r>
        <w:t>, both members of the heath family (Ericaceae). Although leaf investment for both these species was much lower at the oldest site, many individuals of both species did continue to exhibit positive leaf investment together with high reproductive investment.</w:t>
      </w:r>
    </w:p>
    <w:p w:rsidR="00912F71" w:rsidRDefault="00912F71" w:rsidP="00912F71">
      <w:pPr>
        <w:pStyle w:val="ListParagraph"/>
        <w:numPr>
          <w:ilvl w:val="0"/>
          <w:numId w:val="3"/>
        </w:numPr>
      </w:pPr>
      <w:r>
        <w:t xml:space="preserve">Leaf area is a better </w:t>
      </w:r>
      <w:r w:rsidR="00D649DA">
        <w:t xml:space="preserve">predictor of future investment than is total plant weight. Since leaf area represents the plants photosynthetic capacity, this should be no surprise. </w:t>
      </w:r>
    </w:p>
    <w:p w:rsidR="00A75447" w:rsidRDefault="00A75447" w:rsidP="00A75447">
      <w:pPr>
        <w:pStyle w:val="ListParagraph"/>
        <w:numPr>
          <w:ilvl w:val="1"/>
          <w:numId w:val="3"/>
        </w:numPr>
      </w:pPr>
      <w:r>
        <w:t>For many species both are fairly poor, but more or less across the board, leaf area is better</w:t>
      </w:r>
    </w:p>
    <w:p w:rsidR="00A75447" w:rsidRDefault="00A75447" w:rsidP="00A75447">
      <w:pPr>
        <w:pStyle w:val="ListParagraph"/>
        <w:numPr>
          <w:ilvl w:val="1"/>
          <w:numId w:val="3"/>
        </w:numPr>
      </w:pPr>
      <w:r>
        <w:t>This means that is total leaf area is declining with size, plants are on a slow trajectory to death as soon as they begin cannibalizing leaf area to support reproductive investment</w:t>
      </w:r>
    </w:p>
    <w:p w:rsidR="00D649DA" w:rsidRDefault="00D649DA" w:rsidP="00912F71">
      <w:pPr>
        <w:pStyle w:val="ListParagraph"/>
        <w:numPr>
          <w:ilvl w:val="0"/>
          <w:numId w:val="3"/>
        </w:numPr>
      </w:pPr>
      <w:r>
        <w:t>It is widely assumed that large perennial species continu</w:t>
      </w:r>
      <w:r w:rsidR="00A75447">
        <w:t>e</w:t>
      </w:r>
      <w:r>
        <w:t xml:space="preserve"> increasing in size throughout their lifetimes. If leaf area is used as the measure of plant size, this </w:t>
      </w:r>
      <w:r w:rsidR="00A75447">
        <w:t xml:space="preserve">is </w:t>
      </w:r>
      <w:r>
        <w:t>not true</w:t>
      </w:r>
      <w:r w:rsidR="00A75447">
        <w:t xml:space="preserve"> for these study species</w:t>
      </w:r>
      <w:r>
        <w:t>.</w:t>
      </w:r>
    </w:p>
    <w:p w:rsidR="004B53F8" w:rsidRDefault="004B53F8" w:rsidP="004B53F8">
      <w:pPr>
        <w:pStyle w:val="Heading1"/>
      </w:pPr>
      <w:r>
        <w:lastRenderedPageBreak/>
        <w:t>Figure captions.</w:t>
      </w:r>
    </w:p>
    <w:p w:rsidR="004B53F8" w:rsidRDefault="004B53F8" w:rsidP="004B53F8">
      <w:pPr>
        <w:rPr>
          <w:i/>
        </w:rPr>
      </w:pPr>
      <w:r>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w:t>
      </w:r>
      <w:r w:rsidR="00757124">
        <w:t xml:space="preserve"> (</w:t>
      </w:r>
      <w:r w:rsidR="00757124">
        <w:rPr>
          <w:i/>
        </w:rPr>
        <w:t>Lizzy: I can also create this figure using the same data as in Figure 2, where the data aren’t scaled – it results in some very odd RA values among individuals with negative leaf investment. Not at all sure about the best approach here.)</w:t>
      </w:r>
    </w:p>
    <w:p w:rsidR="004D3EBD" w:rsidRDefault="004D3EBD" w:rsidP="004B53F8">
      <w:pPr>
        <w:rPr>
          <w:i/>
        </w:rPr>
      </w:pPr>
    </w:p>
    <w:p w:rsidR="004D3EBD" w:rsidRPr="003C3342" w:rsidRDefault="004D3EBD" w:rsidP="004D3EBD">
      <w:pPr>
        <w:pStyle w:val="ListParagraph"/>
        <w:numPr>
          <w:ilvl w:val="0"/>
          <w:numId w:val="7"/>
        </w:numPr>
        <w:spacing w:after="360" w:line="480" w:lineRule="auto"/>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rsidR="004D3EBD" w:rsidRPr="003C3342" w:rsidRDefault="004D3EBD" w:rsidP="004D3EBD">
      <w:pPr>
        <w:pStyle w:val="ListParagraph"/>
        <w:numPr>
          <w:ilvl w:val="0"/>
          <w:numId w:val="7"/>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rsidR="004D3EBD" w:rsidRDefault="004D3EBD" w:rsidP="004B53F8">
      <w:pPr>
        <w:rPr>
          <w:i/>
        </w:rPr>
      </w:pPr>
    </w:p>
    <w:p w:rsidR="00341F32" w:rsidRPr="00341F32" w:rsidRDefault="008A4174" w:rsidP="00341F32">
      <w:pPr>
        <w:pStyle w:val="Bibliography"/>
        <w:rPr>
          <w:rFonts w:ascii="Calibri" w:hAnsi="Calibri"/>
        </w:rPr>
      </w:pPr>
      <w:r>
        <w:rPr>
          <w:i/>
        </w:rPr>
        <w:fldChar w:fldCharType="begin"/>
      </w:r>
      <w:r w:rsidR="00F73634">
        <w:rPr>
          <w:i/>
        </w:rPr>
        <w:instrText xml:space="preserve"> ADDIN ZOTERO_BIBL {"custom":[]} CSL_BIBLIOGRAPHY </w:instrText>
      </w:r>
      <w:r>
        <w:rPr>
          <w:i/>
        </w:rPr>
        <w:fldChar w:fldCharType="separate"/>
      </w:r>
      <w:r w:rsidR="00341F32" w:rsidRPr="00341F32">
        <w:rPr>
          <w:rFonts w:ascii="Calibri" w:hAnsi="Calibri"/>
        </w:rPr>
        <w:t xml:space="preserve">Cole, L.C. (1954) The population consequences of life history phenomena. </w:t>
      </w:r>
      <w:r w:rsidR="00341F32" w:rsidRPr="00341F32">
        <w:rPr>
          <w:rFonts w:ascii="Calibri" w:hAnsi="Calibri"/>
          <w:i/>
          <w:iCs/>
        </w:rPr>
        <w:t>The Quarterly Review of Biology</w:t>
      </w:r>
      <w:r w:rsidR="00341F32" w:rsidRPr="00341F32">
        <w:rPr>
          <w:rFonts w:ascii="Calibri" w:hAnsi="Calibri"/>
        </w:rPr>
        <w:t xml:space="preserve">, </w:t>
      </w:r>
      <w:r w:rsidR="00341F32" w:rsidRPr="00341F32">
        <w:rPr>
          <w:rFonts w:ascii="Calibri" w:hAnsi="Calibri"/>
          <w:b/>
          <w:bCs/>
        </w:rPr>
        <w:t>29</w:t>
      </w:r>
      <w:r w:rsidR="00341F32" w:rsidRPr="00341F32">
        <w:rPr>
          <w:rFonts w:ascii="Calibri" w:hAnsi="Calibri"/>
        </w:rPr>
        <w:t>, 103–137.</w:t>
      </w:r>
    </w:p>
    <w:p w:rsidR="00341F32" w:rsidRPr="00341F32" w:rsidRDefault="00341F32" w:rsidP="00341F32">
      <w:pPr>
        <w:pStyle w:val="Bibliography"/>
        <w:rPr>
          <w:rFonts w:ascii="Calibri" w:hAnsi="Calibri"/>
        </w:rPr>
      </w:pPr>
      <w:r w:rsidRPr="00341F32">
        <w:rPr>
          <w:rFonts w:ascii="Calibri" w:hAnsi="Calibri"/>
        </w:rPr>
        <w:t xml:space="preserve">King, D. &amp; Roughgarden, J. (1982) Graded allocation between vegetative and reproductive growth for annual plants in growing seasons of random length. </w:t>
      </w:r>
      <w:r w:rsidRPr="00341F32">
        <w:rPr>
          <w:rFonts w:ascii="Calibri" w:hAnsi="Calibri"/>
          <w:i/>
          <w:iCs/>
        </w:rPr>
        <w:t>Theoretical Population Biology</w:t>
      </w:r>
      <w:r w:rsidRPr="00341F32">
        <w:rPr>
          <w:rFonts w:ascii="Calibri" w:hAnsi="Calibri"/>
        </w:rPr>
        <w:t xml:space="preserve">, </w:t>
      </w:r>
      <w:r w:rsidRPr="00341F32">
        <w:rPr>
          <w:rFonts w:ascii="Calibri" w:hAnsi="Calibri"/>
          <w:b/>
          <w:bCs/>
        </w:rPr>
        <w:t>22</w:t>
      </w:r>
      <w:r w:rsidRPr="00341F32">
        <w:rPr>
          <w:rFonts w:ascii="Calibri" w:hAnsi="Calibri"/>
        </w:rPr>
        <w:t>, 1–16.</w:t>
      </w:r>
    </w:p>
    <w:p w:rsidR="00341F32" w:rsidRPr="00341F32" w:rsidRDefault="00341F32" w:rsidP="00341F32">
      <w:pPr>
        <w:pStyle w:val="Bibliography"/>
        <w:rPr>
          <w:rFonts w:ascii="Calibri" w:hAnsi="Calibri"/>
        </w:rPr>
      </w:pPr>
      <w:r w:rsidRPr="00341F32">
        <w:rPr>
          <w:rFonts w:ascii="Calibri" w:hAnsi="Calibri"/>
        </w:rPr>
        <w:t xml:space="preserve">Kozlowski, J. (1992) Optimal allocation of resources to growth and reproduction: Implications for age and size at maturity. </w:t>
      </w:r>
      <w:r w:rsidRPr="00341F32">
        <w:rPr>
          <w:rFonts w:ascii="Calibri" w:hAnsi="Calibri"/>
          <w:i/>
          <w:iCs/>
        </w:rPr>
        <w:t>Trends in Ecology &amp; Evolution</w:t>
      </w:r>
      <w:r w:rsidRPr="00341F32">
        <w:rPr>
          <w:rFonts w:ascii="Calibri" w:hAnsi="Calibri"/>
        </w:rPr>
        <w:t xml:space="preserve">, </w:t>
      </w:r>
      <w:r w:rsidRPr="00341F32">
        <w:rPr>
          <w:rFonts w:ascii="Calibri" w:hAnsi="Calibri"/>
          <w:b/>
          <w:bCs/>
        </w:rPr>
        <w:t>7</w:t>
      </w:r>
      <w:r w:rsidRPr="00341F32">
        <w:rPr>
          <w:rFonts w:ascii="Calibri" w:hAnsi="Calibri"/>
        </w:rPr>
        <w:t>, 15–19.</w:t>
      </w:r>
    </w:p>
    <w:p w:rsidR="00341F32" w:rsidRPr="00341F32" w:rsidRDefault="00341F32" w:rsidP="00341F32">
      <w:pPr>
        <w:pStyle w:val="Bibliography"/>
        <w:rPr>
          <w:rFonts w:ascii="Calibri" w:hAnsi="Calibri"/>
        </w:rPr>
      </w:pPr>
      <w:r w:rsidRPr="00341F32">
        <w:rPr>
          <w:rFonts w:ascii="Calibri" w:hAnsi="Calibri"/>
        </w:rPr>
        <w:t xml:space="preserve">Mäkelä, A. (1997) A carbon balance model of growth and self-pruning in trees based on structural relationships. </w:t>
      </w:r>
      <w:r w:rsidRPr="00341F32">
        <w:rPr>
          <w:rFonts w:ascii="Calibri" w:hAnsi="Calibri"/>
          <w:i/>
          <w:iCs/>
        </w:rPr>
        <w:t>Forest Science</w:t>
      </w:r>
      <w:r w:rsidRPr="00341F32">
        <w:rPr>
          <w:rFonts w:ascii="Calibri" w:hAnsi="Calibri"/>
        </w:rPr>
        <w:t xml:space="preserve">, </w:t>
      </w:r>
      <w:r w:rsidRPr="00341F32">
        <w:rPr>
          <w:rFonts w:ascii="Calibri" w:hAnsi="Calibri"/>
          <w:b/>
          <w:bCs/>
        </w:rPr>
        <w:t>43</w:t>
      </w:r>
      <w:r w:rsidRPr="00341F32">
        <w:rPr>
          <w:rFonts w:ascii="Calibri" w:hAnsi="Calibri"/>
        </w:rPr>
        <w:t>, 7–24.</w:t>
      </w:r>
    </w:p>
    <w:p w:rsidR="00341F32" w:rsidRPr="00341F32" w:rsidRDefault="00341F32" w:rsidP="00341F32">
      <w:pPr>
        <w:pStyle w:val="Bibliography"/>
        <w:rPr>
          <w:rFonts w:ascii="Calibri" w:hAnsi="Calibri"/>
        </w:rPr>
      </w:pPr>
      <w:r w:rsidRPr="00341F32">
        <w:rPr>
          <w:rFonts w:ascii="Calibri" w:hAnsi="Calibri"/>
        </w:rPr>
        <w:t xml:space="preserve">Miller, T.E.X., Tenhumberg, B. &amp; Louda, S.M. (2008) Herbivore‐Mediated Ecological Costs of Reproduction Shape the Life History of an Iteroparous Plant. </w:t>
      </w:r>
      <w:r w:rsidRPr="00341F32">
        <w:rPr>
          <w:rFonts w:ascii="Calibri" w:hAnsi="Calibri"/>
          <w:i/>
          <w:iCs/>
        </w:rPr>
        <w:t>The American Naturalist</w:t>
      </w:r>
      <w:r w:rsidRPr="00341F32">
        <w:rPr>
          <w:rFonts w:ascii="Calibri" w:hAnsi="Calibri"/>
        </w:rPr>
        <w:t xml:space="preserve">, </w:t>
      </w:r>
      <w:r w:rsidRPr="00341F32">
        <w:rPr>
          <w:rFonts w:ascii="Calibri" w:hAnsi="Calibri"/>
          <w:b/>
          <w:bCs/>
        </w:rPr>
        <w:t>171</w:t>
      </w:r>
      <w:r w:rsidRPr="00341F32">
        <w:rPr>
          <w:rFonts w:ascii="Calibri" w:hAnsi="Calibri"/>
        </w:rPr>
        <w:t>, 141–149.</w:t>
      </w:r>
    </w:p>
    <w:p w:rsidR="00341F32" w:rsidRPr="00341F32" w:rsidRDefault="00341F32" w:rsidP="00341F32">
      <w:pPr>
        <w:pStyle w:val="Bibliography"/>
        <w:rPr>
          <w:rFonts w:ascii="Calibri" w:hAnsi="Calibri"/>
        </w:rPr>
      </w:pPr>
      <w:r w:rsidRPr="00341F32">
        <w:rPr>
          <w:rFonts w:ascii="Calibri" w:hAnsi="Calibri"/>
        </w:rPr>
        <w:t xml:space="preserve">Obeso, J.R. (2002) The costs of reproduction in plants. </w:t>
      </w:r>
      <w:r w:rsidRPr="00341F32">
        <w:rPr>
          <w:rFonts w:ascii="Calibri" w:hAnsi="Calibri"/>
          <w:i/>
          <w:iCs/>
        </w:rPr>
        <w:t>New Phytologist</w:t>
      </w:r>
      <w:r w:rsidRPr="00341F32">
        <w:rPr>
          <w:rFonts w:ascii="Calibri" w:hAnsi="Calibri"/>
        </w:rPr>
        <w:t xml:space="preserve">, </w:t>
      </w:r>
      <w:r w:rsidRPr="00341F32">
        <w:rPr>
          <w:rFonts w:ascii="Calibri" w:hAnsi="Calibri"/>
          <w:b/>
          <w:bCs/>
        </w:rPr>
        <w:t>155</w:t>
      </w:r>
      <w:r w:rsidRPr="00341F32">
        <w:rPr>
          <w:rFonts w:ascii="Calibri" w:hAnsi="Calibri"/>
        </w:rPr>
        <w:t>, 321–348.</w:t>
      </w:r>
    </w:p>
    <w:p w:rsidR="00341F32" w:rsidRPr="00341F32" w:rsidRDefault="00341F32" w:rsidP="00341F32">
      <w:pPr>
        <w:pStyle w:val="Bibliography"/>
        <w:rPr>
          <w:rFonts w:ascii="Calibri" w:hAnsi="Calibri"/>
        </w:rPr>
      </w:pPr>
      <w:r w:rsidRPr="00341F32">
        <w:rPr>
          <w:rFonts w:ascii="Calibri" w:hAnsi="Calibri"/>
        </w:rPr>
        <w:t xml:space="preserve">Primack, R.B. (1987) Relationships Among Flowers, Fruits, and Seeds. </w:t>
      </w:r>
      <w:r w:rsidRPr="00341F32">
        <w:rPr>
          <w:rFonts w:ascii="Calibri" w:hAnsi="Calibri"/>
          <w:i/>
          <w:iCs/>
        </w:rPr>
        <w:t>Annual Review of Ecology and Systematics</w:t>
      </w:r>
      <w:r w:rsidRPr="00341F32">
        <w:rPr>
          <w:rFonts w:ascii="Calibri" w:hAnsi="Calibri"/>
        </w:rPr>
        <w:t xml:space="preserve">, </w:t>
      </w:r>
      <w:r w:rsidRPr="00341F32">
        <w:rPr>
          <w:rFonts w:ascii="Calibri" w:hAnsi="Calibri"/>
          <w:b/>
          <w:bCs/>
        </w:rPr>
        <w:t>18</w:t>
      </w:r>
      <w:r w:rsidRPr="00341F32">
        <w:rPr>
          <w:rFonts w:ascii="Calibri" w:hAnsi="Calibri"/>
        </w:rPr>
        <w:t>, 409–430.</w:t>
      </w:r>
    </w:p>
    <w:p w:rsidR="00341F32" w:rsidRPr="00341F32" w:rsidRDefault="00341F32" w:rsidP="00341F32">
      <w:pPr>
        <w:pStyle w:val="Bibliography"/>
        <w:rPr>
          <w:rFonts w:ascii="Calibri" w:hAnsi="Calibri"/>
        </w:rPr>
      </w:pPr>
      <w:r w:rsidRPr="00341F32">
        <w:rPr>
          <w:rFonts w:ascii="Calibri" w:hAnsi="Calibri"/>
        </w:rPr>
        <w:t xml:space="preserve">Thomas, S.C. (2011) Age-related changes in tree growth and functional biology: the role of reproduction. </w:t>
      </w:r>
      <w:r w:rsidRPr="00341F32">
        <w:rPr>
          <w:rFonts w:ascii="Calibri" w:hAnsi="Calibri"/>
          <w:i/>
          <w:iCs/>
        </w:rPr>
        <w:t>Size- and Age-Related Changes in Tree Structure and Function</w:t>
      </w:r>
      <w:r w:rsidRPr="00341F32">
        <w:rPr>
          <w:rFonts w:ascii="Calibri" w:hAnsi="Calibri"/>
        </w:rPr>
        <w:t xml:space="preserve"> (eds F.C. Meinzer, B. Lachenbruch &amp; T.E. Dawson), pp. 33–64. Springer Netherlands, Dordrecht.</w:t>
      </w:r>
    </w:p>
    <w:p w:rsidR="00341F32" w:rsidRPr="00341F32" w:rsidRDefault="00341F32" w:rsidP="00341F32">
      <w:pPr>
        <w:pStyle w:val="Bibliography"/>
        <w:rPr>
          <w:rFonts w:ascii="Calibri" w:hAnsi="Calibri"/>
        </w:rPr>
      </w:pPr>
      <w:r w:rsidRPr="00341F32">
        <w:rPr>
          <w:rFonts w:ascii="Calibri" w:hAnsi="Calibri"/>
        </w:rPr>
        <w:t xml:space="preserve">Thompson, K. &amp; Stewart, A.J.A. (1981) The measurement and meaning of reproductive effort in plants. </w:t>
      </w:r>
      <w:r w:rsidRPr="00341F32">
        <w:rPr>
          <w:rFonts w:ascii="Calibri" w:hAnsi="Calibri"/>
          <w:i/>
          <w:iCs/>
        </w:rPr>
        <w:t>The American Naturalist</w:t>
      </w:r>
      <w:r w:rsidRPr="00341F32">
        <w:rPr>
          <w:rFonts w:ascii="Calibri" w:hAnsi="Calibri"/>
        </w:rPr>
        <w:t xml:space="preserve">, </w:t>
      </w:r>
      <w:r w:rsidRPr="00341F32">
        <w:rPr>
          <w:rFonts w:ascii="Calibri" w:hAnsi="Calibri"/>
          <w:b/>
          <w:bCs/>
        </w:rPr>
        <w:t>117</w:t>
      </w:r>
      <w:r w:rsidRPr="00341F32">
        <w:rPr>
          <w:rFonts w:ascii="Calibri" w:hAnsi="Calibri"/>
        </w:rPr>
        <w:t>, 205–211.</w:t>
      </w:r>
    </w:p>
    <w:p w:rsidR="00341F32" w:rsidRPr="00341F32" w:rsidRDefault="00341F32" w:rsidP="00341F32">
      <w:pPr>
        <w:pStyle w:val="Bibliography"/>
        <w:rPr>
          <w:rFonts w:ascii="Calibri" w:hAnsi="Calibri"/>
        </w:rPr>
      </w:pPr>
      <w:r w:rsidRPr="00341F32">
        <w:rPr>
          <w:rFonts w:ascii="Calibri" w:hAnsi="Calibri"/>
        </w:rPr>
        <w:t xml:space="preserve">Thornley, J.H.M. (1972) A model to describe the partitioning of photosynthate during vegetative plant growth. </w:t>
      </w:r>
      <w:r w:rsidRPr="00341F32">
        <w:rPr>
          <w:rFonts w:ascii="Calibri" w:hAnsi="Calibri"/>
          <w:i/>
          <w:iCs/>
        </w:rPr>
        <w:t>Annals of Botany</w:t>
      </w:r>
      <w:r w:rsidRPr="00341F32">
        <w:rPr>
          <w:rFonts w:ascii="Calibri" w:hAnsi="Calibri"/>
        </w:rPr>
        <w:t xml:space="preserve">, </w:t>
      </w:r>
      <w:r w:rsidRPr="00341F32">
        <w:rPr>
          <w:rFonts w:ascii="Calibri" w:hAnsi="Calibri"/>
          <w:b/>
          <w:bCs/>
        </w:rPr>
        <w:t>36</w:t>
      </w:r>
      <w:r w:rsidRPr="00341F32">
        <w:rPr>
          <w:rFonts w:ascii="Calibri" w:hAnsi="Calibri"/>
        </w:rPr>
        <w:t>, 419–430.</w:t>
      </w:r>
    </w:p>
    <w:p w:rsidR="00341F32" w:rsidRPr="00341F32" w:rsidRDefault="00341F32" w:rsidP="00341F32">
      <w:pPr>
        <w:pStyle w:val="Bibliography"/>
        <w:rPr>
          <w:rFonts w:ascii="Calibri" w:hAnsi="Calibri"/>
        </w:rPr>
      </w:pPr>
      <w:r w:rsidRPr="00341F32">
        <w:rPr>
          <w:rFonts w:ascii="Calibri" w:hAnsi="Calibri"/>
        </w:rPr>
        <w:t xml:space="preserve">Weiner, J., Campbell, L.G., Pino, J. &amp; Echarte, L. (2009) The allometry of reproduction within plant populations. </w:t>
      </w:r>
      <w:r w:rsidRPr="00341F32">
        <w:rPr>
          <w:rFonts w:ascii="Calibri" w:hAnsi="Calibri"/>
          <w:i/>
          <w:iCs/>
        </w:rPr>
        <w:t>Journal of Ecology</w:t>
      </w:r>
      <w:r w:rsidRPr="00341F32">
        <w:rPr>
          <w:rFonts w:ascii="Calibri" w:hAnsi="Calibri"/>
        </w:rPr>
        <w:t xml:space="preserve">, </w:t>
      </w:r>
      <w:r w:rsidRPr="00341F32">
        <w:rPr>
          <w:rFonts w:ascii="Calibri" w:hAnsi="Calibri"/>
          <w:b/>
          <w:bCs/>
        </w:rPr>
        <w:t>97</w:t>
      </w:r>
      <w:r w:rsidRPr="00341F32">
        <w:rPr>
          <w:rFonts w:ascii="Calibri" w:hAnsi="Calibri"/>
        </w:rPr>
        <w:t>, 1220–1233.</w:t>
      </w:r>
    </w:p>
    <w:p w:rsidR="00341F32" w:rsidRPr="00341F32" w:rsidRDefault="00341F32" w:rsidP="00341F32">
      <w:pPr>
        <w:pStyle w:val="Bibliography"/>
        <w:rPr>
          <w:rFonts w:ascii="Calibri" w:hAnsi="Calibri"/>
        </w:rPr>
      </w:pPr>
      <w:r w:rsidRPr="00341F32">
        <w:rPr>
          <w:rFonts w:ascii="Calibri" w:hAnsi="Calibri"/>
        </w:rPr>
        <w:t xml:space="preserve">Wenk, E.H. &amp; Falster, D.S. (2015) Quantifying and understanding reproductive allocation schedules in plants. </w:t>
      </w:r>
      <w:r w:rsidRPr="00341F32">
        <w:rPr>
          <w:rFonts w:ascii="Calibri" w:hAnsi="Calibri"/>
          <w:i/>
          <w:iCs/>
        </w:rPr>
        <w:t>Ecology and Evolution</w:t>
      </w:r>
      <w:r w:rsidRPr="00341F32">
        <w:rPr>
          <w:rFonts w:ascii="Calibri" w:hAnsi="Calibri"/>
        </w:rPr>
        <w:t xml:space="preserve">, </w:t>
      </w:r>
      <w:r w:rsidRPr="00341F32">
        <w:rPr>
          <w:rFonts w:ascii="Calibri" w:hAnsi="Calibri"/>
          <w:b/>
          <w:bCs/>
        </w:rPr>
        <w:t>5</w:t>
      </w:r>
      <w:r w:rsidRPr="00341F32">
        <w:rPr>
          <w:rFonts w:ascii="Calibri" w:hAnsi="Calibri"/>
        </w:rPr>
        <w:t>, 5521–5538.</w:t>
      </w:r>
    </w:p>
    <w:p w:rsidR="00341F32" w:rsidRPr="00341F32" w:rsidRDefault="00341F32" w:rsidP="00341F32">
      <w:pPr>
        <w:pStyle w:val="Bibliography"/>
        <w:rPr>
          <w:rFonts w:ascii="Calibri" w:hAnsi="Calibri"/>
        </w:rPr>
      </w:pPr>
      <w:r w:rsidRPr="00341F32">
        <w:rPr>
          <w:rFonts w:ascii="Calibri" w:hAnsi="Calibri"/>
        </w:rPr>
        <w:lastRenderedPageBreak/>
        <w:t xml:space="preserve">de Wit, C.T. (1978) </w:t>
      </w:r>
      <w:r w:rsidRPr="00341F32">
        <w:rPr>
          <w:rFonts w:ascii="Calibri" w:hAnsi="Calibri"/>
          <w:i/>
          <w:iCs/>
        </w:rPr>
        <w:t>Simulation of Assimilation, Respiration and Transpiration of Crops</w:t>
      </w:r>
      <w:r w:rsidRPr="00341F32">
        <w:rPr>
          <w:rFonts w:ascii="Calibri" w:hAnsi="Calibri"/>
        </w:rPr>
        <w:t>. Centre for Agricultural Publishing and Documentation.</w:t>
      </w:r>
    </w:p>
    <w:p w:rsidR="00341F32" w:rsidRPr="00341F32" w:rsidRDefault="00341F32" w:rsidP="00341F32">
      <w:pPr>
        <w:pStyle w:val="Bibliography"/>
        <w:rPr>
          <w:rFonts w:ascii="Calibri" w:hAnsi="Calibri"/>
        </w:rPr>
      </w:pPr>
      <w:r w:rsidRPr="00341F32">
        <w:rPr>
          <w:rFonts w:ascii="Calibri" w:hAnsi="Calibri"/>
        </w:rPr>
        <w:t xml:space="preserve">Wright, S.J., Jaramillo, M.A., Pavon, J., Condit, R., Hubbell, S.P. &amp; Foster, R.B. (2005) Reproductive size thresholds in tropical trees: variation among individuals, species and forests. </w:t>
      </w:r>
      <w:r w:rsidRPr="00341F32">
        <w:rPr>
          <w:rFonts w:ascii="Calibri" w:hAnsi="Calibri"/>
          <w:i/>
          <w:iCs/>
        </w:rPr>
        <w:t>Journal of Tropical Ecology</w:t>
      </w:r>
      <w:r w:rsidRPr="00341F32">
        <w:rPr>
          <w:rFonts w:ascii="Calibri" w:hAnsi="Calibri"/>
        </w:rPr>
        <w:t xml:space="preserve">, </w:t>
      </w:r>
      <w:r w:rsidRPr="00341F32">
        <w:rPr>
          <w:rFonts w:ascii="Calibri" w:hAnsi="Calibri"/>
          <w:b/>
          <w:bCs/>
        </w:rPr>
        <w:t>21</w:t>
      </w:r>
      <w:r w:rsidRPr="00341F32">
        <w:rPr>
          <w:rFonts w:ascii="Calibri" w:hAnsi="Calibri"/>
        </w:rPr>
        <w:t>, 307–315.</w:t>
      </w:r>
    </w:p>
    <w:p w:rsidR="00341F32" w:rsidRPr="00341F32" w:rsidRDefault="00341F32" w:rsidP="00341F32">
      <w:pPr>
        <w:pStyle w:val="Bibliography"/>
        <w:rPr>
          <w:rFonts w:ascii="Calibri" w:hAnsi="Calibri"/>
        </w:rPr>
      </w:pPr>
      <w:r w:rsidRPr="00341F32">
        <w:rPr>
          <w:rFonts w:ascii="Calibri" w:hAnsi="Calibri"/>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341F32">
        <w:rPr>
          <w:rFonts w:ascii="Calibri" w:hAnsi="Calibri"/>
          <w:i/>
          <w:iCs/>
        </w:rPr>
        <w:t>Ecology</w:t>
      </w:r>
      <w:r w:rsidRPr="00341F32">
        <w:rPr>
          <w:rFonts w:ascii="Calibri" w:hAnsi="Calibri"/>
        </w:rPr>
        <w:t xml:space="preserve">, </w:t>
      </w:r>
      <w:r w:rsidRPr="00341F32">
        <w:rPr>
          <w:rFonts w:ascii="Calibri" w:hAnsi="Calibri"/>
          <w:b/>
          <w:bCs/>
        </w:rPr>
        <w:t>91</w:t>
      </w:r>
      <w:r w:rsidRPr="00341F32">
        <w:rPr>
          <w:rFonts w:ascii="Calibri" w:hAnsi="Calibri"/>
        </w:rPr>
        <w:t>, 3664–3674.</w:t>
      </w:r>
    </w:p>
    <w:p w:rsidR="00341F32" w:rsidRPr="00341F32" w:rsidRDefault="00341F32" w:rsidP="00341F32">
      <w:pPr>
        <w:pStyle w:val="Bibliography"/>
        <w:rPr>
          <w:rFonts w:ascii="Calibri" w:hAnsi="Calibri"/>
        </w:rPr>
      </w:pPr>
      <w:r w:rsidRPr="00341F32">
        <w:rPr>
          <w:rFonts w:ascii="Calibri" w:hAnsi="Calibri"/>
        </w:rPr>
        <w:t xml:space="preserve">Young, T.P. (2010) Semelparity and iteroparity. </w:t>
      </w:r>
      <w:r w:rsidRPr="00341F32">
        <w:rPr>
          <w:rFonts w:ascii="Calibri" w:hAnsi="Calibri"/>
          <w:i/>
          <w:iCs/>
        </w:rPr>
        <w:t>Nature Education Knowledge</w:t>
      </w:r>
      <w:r w:rsidRPr="00341F32">
        <w:rPr>
          <w:rFonts w:ascii="Calibri" w:hAnsi="Calibri"/>
        </w:rPr>
        <w:t xml:space="preserve">, </w:t>
      </w:r>
      <w:r w:rsidRPr="00341F32">
        <w:rPr>
          <w:rFonts w:ascii="Calibri" w:hAnsi="Calibri"/>
          <w:b/>
          <w:bCs/>
        </w:rPr>
        <w:t>3</w:t>
      </w:r>
      <w:r w:rsidRPr="00341F32">
        <w:rPr>
          <w:rFonts w:ascii="Calibri" w:hAnsi="Calibri"/>
        </w:rPr>
        <w:t>, 2.</w:t>
      </w:r>
    </w:p>
    <w:p w:rsidR="00547A4A" w:rsidRDefault="008A4174" w:rsidP="00547A4A">
      <w:r>
        <w:rPr>
          <w:i/>
        </w:rPr>
        <w:fldChar w:fldCharType="end"/>
      </w:r>
      <w:r w:rsidR="00547A4A" w:rsidRPr="00547A4A">
        <w:t xml:space="preserve"> </w:t>
      </w:r>
      <w:r w:rsidR="00547A4A">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rsidR="00513658" w:rsidRPr="001153EE" w:rsidRDefault="00513658" w:rsidP="00513658">
      <w:r>
        <w:t xml:space="preserve">However, with increasing plant size, the energy expenditure to replace shed leaves and stems, becomes an ever larger proportion of a plant’s total energy budget. While the proportion of </w:t>
      </w:r>
      <w:r w:rsidRPr="00E837AA">
        <w:rPr>
          <w:i/>
        </w:rPr>
        <w:t>surplus energy</w:t>
      </w:r>
      <w:r>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Pr>
          <w:i/>
        </w:rPr>
        <w:t xml:space="preserve">decrease </w:t>
      </w:r>
      <w:r>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Pr>
          <w:i/>
        </w:rPr>
        <w:t>surplus energy</w:t>
      </w:r>
      <w:r>
        <w:t xml:space="preserve"> reaches 1 and if a plant’s vegetative size declines, RA exceeds 1. If plants display such growth trajectories, the conventional RA calculation will not accurately depict a plant’s energy allocation decisions. </w:t>
      </w:r>
    </w:p>
    <w:p w:rsidR="00513658" w:rsidRPr="00BF51E3" w:rsidRDefault="00513658" w:rsidP="00513658">
      <w:r>
        <w:t>Yearly leaf replacement</w:t>
      </w:r>
    </w:p>
    <w:p w:rsidR="008A4174" w:rsidRPr="00757124" w:rsidRDefault="008A4174" w:rsidP="004B53F8">
      <w:pPr>
        <w:rPr>
          <w:i/>
        </w:rPr>
      </w:pPr>
    </w:p>
    <w:sectPr w:rsidR="008A4174" w:rsidRPr="0075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C3A09"/>
    <w:rsid w:val="001153EE"/>
    <w:rsid w:val="0017621A"/>
    <w:rsid w:val="0019366B"/>
    <w:rsid w:val="00250722"/>
    <w:rsid w:val="00266B46"/>
    <w:rsid w:val="00341F32"/>
    <w:rsid w:val="00351D46"/>
    <w:rsid w:val="003E06B6"/>
    <w:rsid w:val="00443CD1"/>
    <w:rsid w:val="004B53F8"/>
    <w:rsid w:val="004D3EBD"/>
    <w:rsid w:val="00502BAB"/>
    <w:rsid w:val="00513658"/>
    <w:rsid w:val="005154A4"/>
    <w:rsid w:val="00547A4A"/>
    <w:rsid w:val="0057166D"/>
    <w:rsid w:val="00596552"/>
    <w:rsid w:val="005E6C4A"/>
    <w:rsid w:val="00624F81"/>
    <w:rsid w:val="006C675D"/>
    <w:rsid w:val="0070388E"/>
    <w:rsid w:val="0071474E"/>
    <w:rsid w:val="00714DB8"/>
    <w:rsid w:val="00757124"/>
    <w:rsid w:val="00785C27"/>
    <w:rsid w:val="00792EAE"/>
    <w:rsid w:val="007A257F"/>
    <w:rsid w:val="007A6B12"/>
    <w:rsid w:val="007B5320"/>
    <w:rsid w:val="008820E7"/>
    <w:rsid w:val="008A4174"/>
    <w:rsid w:val="00912F71"/>
    <w:rsid w:val="00936245"/>
    <w:rsid w:val="00A054A1"/>
    <w:rsid w:val="00A14E06"/>
    <w:rsid w:val="00A340BD"/>
    <w:rsid w:val="00A75447"/>
    <w:rsid w:val="00AC7281"/>
    <w:rsid w:val="00B26B66"/>
    <w:rsid w:val="00B866E9"/>
    <w:rsid w:val="00BB50BC"/>
    <w:rsid w:val="00BC6580"/>
    <w:rsid w:val="00BF51E3"/>
    <w:rsid w:val="00C306E1"/>
    <w:rsid w:val="00C569BB"/>
    <w:rsid w:val="00C86540"/>
    <w:rsid w:val="00C95032"/>
    <w:rsid w:val="00CA18E0"/>
    <w:rsid w:val="00CC215D"/>
    <w:rsid w:val="00CD7DC7"/>
    <w:rsid w:val="00D05870"/>
    <w:rsid w:val="00D279A7"/>
    <w:rsid w:val="00D456E0"/>
    <w:rsid w:val="00D649DA"/>
    <w:rsid w:val="00D80492"/>
    <w:rsid w:val="00E30D35"/>
    <w:rsid w:val="00E401CD"/>
    <w:rsid w:val="00E42E8B"/>
    <w:rsid w:val="00E837AA"/>
    <w:rsid w:val="00ED6D6E"/>
    <w:rsid w:val="00EF009E"/>
    <w:rsid w:val="00EF05D4"/>
    <w:rsid w:val="00F123A9"/>
    <w:rsid w:val="00F16B6A"/>
    <w:rsid w:val="00F37ECE"/>
    <w:rsid w:val="00F72A60"/>
    <w:rsid w:val="00F73634"/>
    <w:rsid w:val="00FB2CEE"/>
    <w:rsid w:val="00FB42A7"/>
    <w:rsid w:val="00FD5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8529</TotalTime>
  <Pages>6</Pages>
  <Words>7342</Words>
  <Characters>41852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12</cp:revision>
  <dcterms:created xsi:type="dcterms:W3CDTF">2016-08-22T23:41:00Z</dcterms:created>
  <dcterms:modified xsi:type="dcterms:W3CDTF">2016-12-12T04:59:00Z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id="r0bYI7DY"/&gt;&lt;style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