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1F2937"/>
          <w:sz w:val="22"/>
          <w:szCs w:val="22"/>
        </w:rPr>
        <w:t xml:space="preserve"/>
      </w:r>
    </w:p>
    <w:p>
      <w:pPr>
        <w:spacing w:after="80"/>
      </w:pPr>
      <w:r>
        <w:rPr>
          <w:rFonts w:ascii="Arial" w:cs="Arial" w:eastAsia="Arial" w:hAnsi="Arial"/>
          <w:color w:val="1F2937"/>
          <w:sz w:val="22"/>
          <w:szCs w:val="22"/>
        </w:rPr>
        <w:t xml:space="preserve"/>
      </w:r>
    </w:p>
    <w:p>
      <w:pPr>
        <w:spacing w:after="80"/>
      </w:pPr>
      <w:r>
        <w:rPr>
          <w:rFonts w:ascii="Arial" w:cs="Arial" w:eastAsia="Arial" w:hAnsi="Arial"/>
          <w:color w:val="1F2937"/>
          <w:sz w:val="22"/>
          <w:szCs w:val="22"/>
        </w:rPr>
        <w:t xml:space="preserve"/>
      </w:r>
    </w:p>
    <w:p>
      <w:pPr>
        <w:spacing w:after="80"/>
        <w:jc w:val="center"/>
      </w:pPr>
      <w:r>
        <w:rPr>
          <w:rFonts w:ascii="Arial" w:cs="Arial" w:eastAsia="Arial" w:hAnsi="Arial"/>
          <w:b/>
          <w:bCs/>
          <w:color w:val="0B1E3A"/>
          <w:sz w:val="72"/>
          <w:szCs w:val="72"/>
        </w:rPr>
        <w:t xml:space="preserve">SPECTRAL</w:t>
      </w:r>
    </w:p>
    <w:p>
      <w:pPr>
        <w:spacing w:after="240"/>
        <w:jc w:val="center"/>
      </w:pPr>
      <w:r>
        <w:rPr>
          <w:rFonts w:ascii="Arial" w:cs="Arial" w:eastAsia="Arial" w:hAnsi="Arial"/>
          <w:color w:val="6B7280"/>
          <w:sz w:val="28"/>
          <w:szCs w:val="28"/>
        </w:rPr>
        <w:t xml:space="preserve">MILITARY DRONE INTELLIGENCE PLATFORM</w:t>
      </w:r>
    </w:p>
    <w:p>
      <w:pPr>
        <w:pBdr>
          <w:top w:val="single" w:color="F97316" w:sz="20"/>
          <w:bottom w:val="single" w:color="F97316" w:sz="20"/>
        </w:pBdr>
        <w:spacing w:after="160" w:before="160"/>
        <w:jc w:val="center"/>
      </w:pPr>
      <w:r>
        <w:rPr>
          <w:rFonts w:ascii="Arial" w:cs="Arial" w:eastAsia="Arial" w:hAnsi="Arial"/>
          <w:b/>
          <w:bCs/>
          <w:color w:val="F97316"/>
          <w:sz w:val="40"/>
          <w:szCs w:val="40"/>
        </w:rPr>
        <w:t xml:space="preserve">ARCHITECTURE CODE REVIEW</w:t>
      </w:r>
    </w:p>
    <w:p>
      <w:pPr>
        <w:spacing w:after="80"/>
      </w:pPr>
      <w:r>
        <w:rPr>
          <w:rFonts w:ascii="Arial" w:cs="Arial" w:eastAsia="Arial" w:hAnsi="Arial"/>
          <w:color w:val="1F2937"/>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6B7280"/>
                <w:sz w:val="22"/>
                <w:szCs w:val="22"/>
              </w:rPr>
              <w:t xml:space="preserve">Document Type</w:t>
            </w:r>
          </w:p>
        </w:tc>
        <w:tc>
          <w:tcPr>
            <w:tcW w:type="dxa" w:w="3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2"/>
                <w:szCs w:val="22"/>
              </w:rPr>
              <w:t xml:space="preserve">Architecture Code Review</w:t>
            </w:r>
          </w:p>
        </w:tc>
      </w:tr>
      <w:tr>
        <w:tc>
          <w:tcPr>
            <w:tcW w:type="dxa" w:w="3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6B7280"/>
                <w:sz w:val="22"/>
                <w:szCs w:val="22"/>
              </w:rPr>
              <w:t xml:space="preserve">Classification</w:t>
            </w:r>
          </w:p>
        </w:tc>
        <w:tc>
          <w:tcPr>
            <w:tcW w:type="dxa" w:w="3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0B1E3A"/>
                <w:sz w:val="22"/>
                <w:szCs w:val="22"/>
              </w:rPr>
              <w:t xml:space="preserve">UNCLASSIFIED // FOR OFFICIAL TRAINING USE ONLY</w:t>
            </w:r>
          </w:p>
        </w:tc>
      </w:tr>
      <w:tr>
        <w:tc>
          <w:tcPr>
            <w:tcW w:type="dxa" w:w="3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6B7280"/>
                <w:sz w:val="22"/>
                <w:szCs w:val="22"/>
              </w:rPr>
              <w:t xml:space="preserve">Date</w:t>
            </w:r>
          </w:p>
        </w:tc>
        <w:tc>
          <w:tcPr>
            <w:tcW w:type="dxa" w:w="3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2"/>
                <w:szCs w:val="22"/>
              </w:rPr>
              <w:t xml:space="preserve">30 June 2026</w:t>
            </w:r>
          </w:p>
        </w:tc>
      </w:tr>
      <w:tr>
        <w:tc>
          <w:tcPr>
            <w:tcW w:type="dxa" w:w="3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6B7280"/>
                <w:sz w:val="22"/>
                <w:szCs w:val="22"/>
              </w:rPr>
              <w:t xml:space="preserve">Stack</w:t>
            </w:r>
          </w:p>
        </w:tc>
        <w:tc>
          <w:tcPr>
            <w:tcW w:type="dxa" w:w="3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2"/>
                <w:szCs w:val="22"/>
              </w:rPr>
              <w:t xml:space="preserve">Next.js 14 · Supabase · AWS Bedrock · CesiumJS · D3</w:t>
            </w:r>
          </w:p>
        </w:tc>
      </w:tr>
      <w:tr>
        <w:tc>
          <w:tcPr>
            <w:tcW w:type="dxa" w:w="3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6B7280"/>
                <w:sz w:val="22"/>
                <w:szCs w:val="22"/>
              </w:rPr>
              <w:t xml:space="preserve">Review Scope</w:t>
            </w:r>
          </w:p>
        </w:tc>
        <w:tc>
          <w:tcPr>
            <w:tcW w:type="dxa" w:w="3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2"/>
                <w:szCs w:val="22"/>
              </w:rPr>
              <w:t xml:space="preserve">Performance · Maintainability · Architecture</w:t>
            </w:r>
          </w:p>
        </w:tc>
      </w:tr>
      <w:tr>
        <w:tc>
          <w:tcPr>
            <w:tcW w:type="dxa" w:w="3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6B7280"/>
                <w:sz w:val="22"/>
                <w:szCs w:val="22"/>
              </w:rPr>
              <w:t xml:space="preserve">Findings</w:t>
            </w:r>
          </w:p>
        </w:tc>
        <w:tc>
          <w:tcPr>
            <w:tcW w:type="dxa" w:w="3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2"/>
                <w:szCs w:val="22"/>
              </w:rPr>
              <w:t xml:space="preserve">18 findings — 3 HIGH · 7 MED · 6 LOW · 2 INFO</w:t>
            </w:r>
          </w:p>
        </w:tc>
      </w:tr>
    </w:tbl>
    <w:p>
      <w:pPr>
        <w:spacing w:after="80"/>
      </w:pPr>
      <w:r>
        <w:rPr>
          <w:rFonts w:ascii="Arial" w:cs="Arial" w:eastAsia="Arial" w:hAnsi="Arial"/>
          <w:color w:val="1F2937"/>
          <w:sz w:val="22"/>
          <w:szCs w:val="22"/>
        </w:rPr>
        <w:t xml:space="preserve"/>
      </w:r>
    </w:p>
    <w:p>
      <w:pPr>
        <w:spacing w:after="80"/>
      </w:pPr>
      <w:r>
        <w:rPr>
          <w:rFonts w:ascii="Arial" w:cs="Arial" w:eastAsia="Arial" w:hAnsi="Arial"/>
          <w:color w:val="1F2937"/>
          <w:sz w:val="22"/>
          <w:szCs w:val="22"/>
        </w:rPr>
        <w:t xml:space="preserve"/>
      </w:r>
    </w:p>
    <w:p>
      <w:pPr>
        <w:jc w:val="center"/>
      </w:pPr>
      <w:r>
        <w:rPr>
          <w:rFonts w:ascii="Arial" w:cs="Arial" w:eastAsia="Arial" w:hAnsi="Arial"/>
          <w:b/>
          <w:bCs/>
          <w:color w:val="0B1E3A"/>
          <w:sz w:val="18"/>
          <w:szCs w:val="18"/>
        </w:rPr>
        <w:t xml:space="preserve">UNCLASSIFIED // FOR OFFICIAL TRAINING USE ONLY</w:t>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97316" w:sz="12"/>
        </w:pBdr>
        <w:spacing w:after="160" w:before="320"/>
      </w:pPr>
      <w:r>
        <w:rPr>
          <w:rFonts w:ascii="Arial" w:cs="Arial" w:eastAsia="Arial" w:hAnsi="Arial"/>
          <w:b/>
          <w:bCs/>
          <w:color w:val="0B1E3A"/>
          <w:sz w:val="32"/>
          <w:szCs w:val="32"/>
        </w:rPr>
        <w:t xml:space="preserve">1 · Executive Summary</w:t>
      </w:r>
    </w:p>
    <w:p>
      <w:pPr>
        <w:spacing w:after="120" w:line="288"/>
      </w:pPr>
      <w:r>
        <w:rPr>
          <w:rFonts w:ascii="Arial" w:cs="Arial" w:eastAsia="Arial" w:hAnsi="Arial"/>
          <w:color w:val="1F2937"/>
          <w:sz w:val="22"/>
          <w:szCs w:val="22"/>
        </w:rPr>
        <w:t xml:space="preserve">SPECTRAL is a Next.js 14 App Router military drone intelligence platform serving defence training audiences under an UNCLASSIFIED // FOR OFFICIAL TRAINING USE ONLY classification. This review covers the full application architecture across five subsystems: Compliance &amp; Gate Engine, AeroCopilot (AI), Mission &amp; Ops Flow (PCM/WOPR), Data Layer / Supabase, and Billing / Stripe. The review lens spans performance, maintainability, and architecture integrity.</w:t>
      </w:r>
    </w:p>
    <w:p>
      <w:pPr>
        <w:spacing w:after="120" w:line="288"/>
      </w:pPr>
      <w:r>
        <w:rPr>
          <w:rFonts w:ascii="Arial" w:cs="Arial" w:eastAsia="Arial" w:hAnsi="Arial"/>
          <w:color w:val="1F2937"/>
          <w:sz w:val="22"/>
          <w:szCs w:val="22"/>
        </w:rPr>
        <w:t xml:space="preserve">At the time of review (30 June 2026), the application has completed 30+ migrations, implements the Persistent Combat Model (PCM) with a full multi-turn wargame engine, migrated AI inference to AWS Bedrock in ap-southeast-2 for Australian data sovereignty, and scaffolded the DS route authorization scope (Phase 1-D, in-progress). The architecture is sound overall, with targeted gaps in middleware MFA enforcement, WOPR in-memory state persistence, audit log coverage, and an orphaned Stripe webhook file that belongs to the A3DM project.</w:t>
      </w:r>
    </w:p>
    <w:p>
      <w:pPr>
        <w:spacing w:after="80"/>
      </w:pPr>
      <w:r>
        <w:rPr>
          <w:rFonts w:ascii="Arial" w:cs="Arial" w:eastAsia="Arial" w:hAnsi="Arial"/>
          <w:color w:val="1F2937"/>
          <w:sz w:val="22"/>
          <w:szCs w:val="22"/>
        </w:rPr>
        <w:t xml:space="preserve"/>
      </w:r>
    </w:p>
    <w:p>
      <w:pPr>
        <w:pBdr>
          <w:left w:val="single" w:color="16A34A" w:sz="12" w:space="6"/>
        </w:pBdr>
        <w:spacing w:after="120" w:before="120"/>
        <w:ind w:left="360"/>
      </w:pPr>
      <w:r>
        <w:rPr>
          <w:rFonts w:ascii="Arial" w:cs="Arial" w:eastAsia="Arial" w:hAnsi="Arial"/>
          <w:b/>
          <w:bCs/>
          <w:color w:val="16A34A"/>
          <w:sz w:val="22"/>
          <w:szCs w:val="22"/>
        </w:rPr>
        <w:t xml:space="preserve">KEY STRENGTH: Single Bedrock client singleton (lib/claude/bedrock.ts) — all AI inference routes through one file. Credential rotation, region changes, and model upgrades happen in one place only.</w:t>
      </w:r>
    </w:p>
    <w:p>
      <w:pPr>
        <w:pBdr>
          <w:left w:val="single" w:color="DC2626" w:sz="12" w:space="6"/>
        </w:pBdr>
        <w:spacing w:after="120" w:before="120"/>
        <w:ind w:left="360"/>
      </w:pPr>
      <w:r>
        <w:rPr>
          <w:rFonts w:ascii="Arial" w:cs="Arial" w:eastAsia="Arial" w:hAnsi="Arial"/>
          <w:b/>
          <w:bCs/>
          <w:color w:val="DC2626"/>
          <w:sz w:val="22"/>
          <w:szCs w:val="22"/>
        </w:rPr>
        <w:t xml:space="preserve">KEY RISK: WorldStateEngine uses a global in-memory Map for WOPR scenario state (lib/wopr/store.ts). Under Vercel serverless, each cold start gets an empty Map. Cross-function state is lost between requests unless the DB path succeeds — race condition under load.</w:t>
      </w:r>
    </w:p>
    <w:p>
      <w:pPr>
        <w:spacing w:after="80"/>
      </w:pPr>
      <w:r>
        <w:rPr>
          <w:rFonts w:ascii="Arial" w:cs="Arial" w:eastAsia="Arial" w:hAnsi="Arial"/>
          <w:color w:val="1F2937"/>
          <w:sz w:val="22"/>
          <w:szCs w:val="22"/>
        </w:rPr>
        <w:t xml:space="preserve"/>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2 · Application Architecture Map</w:t>
      </w:r>
    </w:p>
    <w:p>
      <w:pPr>
        <w:spacing w:after="120" w:line="288"/>
      </w:pPr>
      <w:r>
        <w:rPr>
          <w:rFonts w:ascii="Arial" w:cs="Arial" w:eastAsia="Arial" w:hAnsi="Arial"/>
          <w:color w:val="1F2937"/>
          <w:sz w:val="22"/>
          <w:szCs w:val="22"/>
        </w:rPr>
        <w:t xml:space="preserve">The following table maps every major subsystem to its canonical entry point, processing layer, and terminal output. This is the definitive start → process → endpoint reference for the codebase.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228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SUBSYSTEM</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 POINT</w:t>
            </w:r>
          </w:p>
        </w:tc>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MODULE</w:t>
            </w:r>
          </w:p>
        </w:tc>
        <w:tc>
          <w:tcPr>
            <w:tcW w:type="dxa" w:w="22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 SINK</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Auth &amp; Compliance Gate</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middleware.ts → every request</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lib/supabase/server.ts, lib/operations/tenant.ts</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Session cookie · redirect · x-spectral-tenant-id header</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Classification Banner</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app/layout.tsx (non-removable)</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lib/operations/classification.ts</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UNCLASSIFIED // FOR OFFICIAL TRAINING USE ONLY on every page</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DS Route Auth</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app/api/spectral/players/*, exercises/*/turn</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lib/moat/ds-route-auth.ts</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403 Forbidden | null (allow)</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AeroCopilot</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app/api/aerocopilot POST</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lib/claude/bedrock.ts callBedrock()</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JSON CopilotResponse → client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querySpectral()</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Server component / API route</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lib/claude/client.ts → callBedrock()</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Plain text answer string</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SPECTRAL-REF</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exercises/[id]/turn POST</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lib/pcm/spectralRefOrchestrator.ts → spectralRefApi.ts</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OversightGate → JSON → spectral_exercises DB</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PCM World State</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exercises/[id]/start POST</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lib/pcm/worldStateEngine.ts (WSE singleton)</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spectral_exercises · spectral_turn_records in Supabase</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PCM Adjudication</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worldStateEngine.advanceTurn()</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lib/pcm/trainingAdjudicationCore.ts · adjudicationCore.ts</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AdjudicationResult · resolvedWorldState</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Learner Model</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processMoatAfterTurn() after every turn</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lib/moat/moatStore.ts → learnerModelEngine.ts</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spectral_competency_records · spectral_training_plans</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WOPR Tick</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api/v1/wopr/scenarios/[id]/tick POST</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lib/wopr/engine.ts advanceScenario()</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wopr_scenarios DB · live-bus.ts SSE stream</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Spectrum View</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app/spectrum/page.tsx</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app/spectrum/SpectrumAppClient.tsx · lib/spectrum/</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D3 log-scale 400MHz–6GHz SVG chart</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GNSS Intelligence</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app/(main)/gnss/page.tsx</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lib/gnss/analytics-engine.ts · gnss-queries.ts</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AnalyticsSummary → UI components</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Defeat Matrix</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app/(main)/defeat/page.tsx</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lib/defeat/queries.ts · resolve-sam-pk.ts</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Heatmap matrix via D3 / Tailwind · CSV export</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Conflict Intel</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app/(main)/conflicts/page.tsx</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lib/conflicts/queries.ts</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Timeline + CesiumJS geo markers</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MapIntel (CesiumJS)</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app/map/page.tsx → dynamic import</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app/map/CesiumMapPanel.tsx · lib/map/</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CesiumJS 3D globe · threat radius spheres</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Accredited Data</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lib/operations/accredited-supplements.ts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DB query → OFFLINE_* fallback in accredited-supplements-data.ts</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AccreditedDataLayer Map for PCM adjudication only</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Platform Catalogue</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lib/platforms/queries.ts</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Supabase platforms table (server-only)</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Platform[] → all 7 modules</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Propagation Heatmap</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api/v1/propagation/heatmap POST</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workers/propagation-heatmap.ts · lib/propagation/</w:t>
            </w:r>
          </w:p>
        </w:tc>
        <w:tc>
          <w:tcPr>
            <w:tcW w:type="dxa" w:w="22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Heatmap job → DB · client polling</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Audit Log</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lib/operations/audit.ts writeAuditLog()</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Courier New" w:cs="Courier New" w:eastAsia="Courier New" w:hAnsi="Courier New"/>
                <w:color w:val="0B1E3A"/>
                <w:sz w:val="18"/>
                <w:szCs w:val="18"/>
              </w:rPr>
              <w:t xml:space="preserve">Supabase audit_log table</w:t>
            </w:r>
          </w:p>
        </w:tc>
        <w:tc>
          <w:tcPr>
            <w:tcW w:type="dxa" w:w="22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Append-only audit entry (WOPR only currently)</w:t>
            </w:r>
          </w:p>
        </w:tc>
      </w:tr>
    </w:tbl>
    <w:p>
      <w:r>
        <w:br w:type="page"/>
      </w:r>
    </w:p>
    <w:p>
      <w:pPr>
        <w:pStyle w:val="Heading1"/>
        <w:pBdr>
          <w:bottom w:val="single" w:color="F97316" w:sz="12"/>
        </w:pBdr>
        <w:spacing w:after="160" w:before="320"/>
      </w:pPr>
      <w:r>
        <w:rPr>
          <w:rFonts w:ascii="Arial" w:cs="Arial" w:eastAsia="Arial" w:hAnsi="Arial"/>
          <w:b/>
          <w:bCs/>
          <w:color w:val="0B1E3A"/>
          <w:sz w:val="32"/>
          <w:szCs w:val="32"/>
        </w:rPr>
        <w:t xml:space="preserve">3 · Compliance &amp; Gate Engine</w:t>
      </w:r>
    </w:p>
    <w:p>
      <w:pPr>
        <w:spacing w:after="120" w:line="288"/>
      </w:pPr>
      <w:r>
        <w:rPr>
          <w:rFonts w:ascii="Arial" w:cs="Arial" w:eastAsia="Arial" w:hAnsi="Arial"/>
          <w:color w:val="1F2937"/>
          <w:sz w:val="22"/>
          <w:szCs w:val="22"/>
        </w:rPr>
        <w:t xml:space="preserve">The compliance and gate engine encompasses the authentication middleware, classification markings, edition switching, RBAC role system, OIDC/SSO scaffold, tenant context, DS authorization scope, and audit logging. This is the security perimeter for the entire application.</w:t>
      </w:r>
    </w:p>
    <w:p>
      <w:pPr>
        <w:pStyle w:val="Heading2"/>
        <w:spacing w:after="120" w:before="240"/>
      </w:pPr>
      <w:r>
        <w:rPr>
          <w:rFonts w:ascii="Arial" w:cs="Arial" w:eastAsia="Arial" w:hAnsi="Arial"/>
          <w:b/>
          <w:bCs/>
          <w:color w:val="0B1E3A"/>
          <w:sz w:val="26"/>
          <w:szCs w:val="26"/>
        </w:rPr>
        <w:t xml:space="preserve">3.1  Middleware — Auth Guard</w:t>
      </w:r>
    </w:p>
    <w:p>
      <w:pPr>
        <w:spacing w:after="120" w:line="288"/>
      </w:pPr>
      <w:r>
        <w:rPr>
          <w:rFonts w:ascii="Arial" w:cs="Arial" w:eastAsia="Arial" w:hAnsi="Arial"/>
          <w:color w:val="1F2937"/>
          <w:sz w:val="22"/>
          <w:szCs w:val="22"/>
        </w:rPr>
        <w:t xml:space="preserve">middleware.ts intercepts every request matching the App Router path pattern. It performs a Supabase session check using @supabase/ssr createServerClient with cookie forwarding. The logic branches on demo mode, then enforces protection on all non-auth routes. In Operations edition, it injects x-spectral-tenant-id into request headers for downstream TenantContext resolution.</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Every incoming HTTP request (except static assets)</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middleware.ts → supabase.auth.getUser() → session check
Demo mode: bypass → NextResponse.next()
Operations: inject x-spectral-tenant-id header</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NextResponse.redirect → /login (unauthenticated)
NextResponse.next() (authenticated)
Full user object available to all Server Components</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/login or /signup with authenticated user</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middleware.ts detects user present + isAuthPage</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Redirect → / (home)</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Operations edition request</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Middleware injects tenant header from SPECTRAL_TENANT_ID env or x-spectral-tenant-id header</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All downstream routes receive tenant context via request headers</w:t>
            </w:r>
          </w:p>
        </w:tc>
      </w:tr>
    </w:tbl>
    <w:p>
      <w:pPr>
        <w:spacing w:after="80"/>
      </w:pPr>
      <w:r>
        <w:rPr>
          <w:rFonts w:ascii="Arial" w:cs="Arial" w:eastAsia="Arial" w:hAnsi="Arial"/>
          <w:color w:val="1F2937"/>
          <w:sz w:val="22"/>
          <w:szCs w:val="22"/>
        </w:rPr>
        <w:t xml:space="preserve"/>
      </w:r>
    </w:p>
    <w:p>
      <w:pPr>
        <w:pBdr>
          <w:left w:val="single" w:color="DC2626" w:sz="12" w:space="6"/>
        </w:pBdr>
        <w:spacing w:after="120" w:before="120"/>
        <w:ind w:left="360"/>
      </w:pPr>
      <w:r>
        <w:rPr>
          <w:rFonts w:ascii="Arial" w:cs="Arial" w:eastAsia="Arial" w:hAnsi="Arial"/>
          <w:b/>
          <w:bCs/>
          <w:color w:val="DC2626"/>
          <w:sz w:val="22"/>
          <w:szCs w:val="22"/>
        </w:rPr>
        <w:t xml:space="preserve">GAP (HIGH): No MFA enforcement in middleware. isDemoMode() is a global bypass — if NEXT_PUBLIC_DEMO_MODE=true ever reaches a production deployment, all routes open without auth. The flag should be server-only (not NEXT_PUBLIC_*) or guarded by SPECTRAL_EDITION check.</w:t>
      </w:r>
    </w:p>
    <w:p>
      <w:pPr>
        <w:pStyle w:val="Heading2"/>
        <w:spacing w:after="120" w:before="240"/>
      </w:pPr>
      <w:r>
        <w:rPr>
          <w:rFonts w:ascii="Arial" w:cs="Arial" w:eastAsia="Arial" w:hAnsi="Arial"/>
          <w:b/>
          <w:bCs/>
          <w:color w:val="0B1E3A"/>
          <w:sz w:val="26"/>
          <w:szCs w:val="26"/>
        </w:rPr>
        <w:t xml:space="preserve">3.2  Classification System</w:t>
      </w:r>
    </w:p>
    <w:p>
      <w:pPr>
        <w:spacing w:after="120" w:line="288"/>
      </w:pPr>
      <w:r>
        <w:rPr>
          <w:rFonts w:ascii="Arial" w:cs="Arial" w:eastAsia="Arial" w:hAnsi="Arial"/>
          <w:color w:val="1F2937"/>
          <w:sz w:val="22"/>
          <w:szCs w:val="22"/>
        </w:rPr>
        <w:t xml:space="preserve">lib/operations/classification.ts defines the ClassificationMarking union (UNCLASSIFIED | OFFICIAL | PROTECTED | SECRET | TOP_SECRET) and maps each to its required banner string. The CLASSIFICATION_BANNER record is the single source of truth. parseClassification() is defensive (falls back to UNCLASSIFIED on unknown input). bannerForClassification() is used by every page layout to render the non-removable classification banner.</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Page render / API response</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bannerForClassification(mark) → CLASSIFICATION_BANNER lookup
All data is OSINT — current mark: UNCLASSIFIED</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UNCLASSIFIED // FOR OFFICIAL TRAINING USE ONLY banner rendered on every page — non-removable</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API response (WOPR)</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ctx.classification from requireTenantContext()
Passed as classification: ctx.classification field</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JSON response includes classification field so client can display banner at correct level</w:t>
            </w:r>
          </w:p>
        </w:tc>
      </w:tr>
    </w:tbl>
    <w:p>
      <w:pPr>
        <w:pStyle w:val="Heading2"/>
        <w:spacing w:after="120" w:before="240"/>
      </w:pPr>
      <w:r>
        <w:rPr>
          <w:rFonts w:ascii="Arial" w:cs="Arial" w:eastAsia="Arial" w:hAnsi="Arial"/>
          <w:b/>
          <w:bCs/>
          <w:color w:val="0B1E3A"/>
          <w:sz w:val="26"/>
          <w:szCs w:val="26"/>
        </w:rPr>
        <w:t xml:space="preserve">3.3  Edition Engine</w:t>
      </w:r>
    </w:p>
    <w:p>
      <w:pPr>
        <w:spacing w:after="120" w:line="288"/>
      </w:pPr>
      <w:r>
        <w:rPr>
          <w:rFonts w:ascii="Arial" w:cs="Arial" w:eastAsia="Arial" w:hAnsi="Arial"/>
          <w:color w:val="1F2937"/>
          <w:sz w:val="22"/>
          <w:szCs w:val="22"/>
        </w:rPr>
        <w:t xml:space="preserve">The SPECTRAL_EDITION env var switches between training and operations modes. getEdition() and isOperationsEdition() are the runtime gate functions. The edition controls: adjudication core selection (placeholder vs training vs operational), propagation refresh in WOPR ticks, DS route strictness, and OIDC authentication flow.</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training (default)</w:t>
            </w:r>
          </w:p>
        </w:tc>
        <w:tc>
          <w:tcPr>
            <w:tcW w:type="dxa" w:w="74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0"/>
                <w:szCs w:val="20"/>
              </w:rPr>
              <w:t xml:space="preserve">OSINT data only · trainingAdjudicationCore · Supabase email auth · no OIDC · accredited supplement layer disabled</w:t>
            </w:r>
          </w:p>
        </w:tc>
      </w:tr>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operations</w:t>
            </w:r>
          </w:p>
        </w:tc>
        <w:tc>
          <w:tcPr>
            <w:tcW w:type="dxa" w:w="74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operationalAdjudicationCore · OIDC/SSO enabled · accredited Pk/waveform/ERP layer active · propagation refresh on each WOPR tick · tenant membership enforced</w:t>
            </w:r>
          </w:p>
        </w:tc>
      </w:tr>
    </w:tbl>
    <w:p>
      <w:pPr>
        <w:pStyle w:val="Heading2"/>
        <w:spacing w:after="120" w:before="240"/>
      </w:pPr>
      <w:r>
        <w:rPr>
          <w:rFonts w:ascii="Arial" w:cs="Arial" w:eastAsia="Arial" w:hAnsi="Arial"/>
          <w:b/>
          <w:bCs/>
          <w:color w:val="0B1E3A"/>
          <w:sz w:val="26"/>
          <w:szCs w:val="26"/>
        </w:rPr>
        <w:t xml:space="preserve">3.4  RBAC &amp; OIDC Scaffold</w:t>
      </w:r>
    </w:p>
    <w:p>
      <w:pPr>
        <w:spacing w:after="120" w:line="288"/>
      </w:pPr>
      <w:r>
        <w:rPr>
          <w:rFonts w:ascii="Arial" w:cs="Arial" w:eastAsia="Arial" w:hAnsi="Arial"/>
          <w:color w:val="1F2937"/>
          <w:sz w:val="22"/>
          <w:szCs w:val="22"/>
        </w:rPr>
        <w:t xml:space="preserve">lib/operations/auth-config.ts defines RBAC_ROLES (operator | analyst | commander | admin) and role predicate functions: roleCanRunPropagation, roleCanImportPlatforms, roleCanManageWopr. The OIDC configuration reads from SPECTRAL_OIDC_* env vars and supports Keycloak or Azure AD as identity providers. lib/operations/oidc.ts builds the authorization URL for the PKCE flow.</w:t>
      </w:r>
    </w:p>
    <w:p>
      <w:pPr>
        <w:spacing w:after="80"/>
      </w:pPr>
      <w:r>
        <w:rPr>
          <w:rFonts w:ascii="Arial" w:cs="Arial" w:eastAsia="Arial" w:hAnsi="Arial"/>
          <w:color w:val="1F2937"/>
          <w:sz w:val="22"/>
          <w:szCs w:val="22"/>
        </w:rPr>
        <w:t xml:space="preserve"/>
      </w:r>
    </w:p>
    <w:p>
      <w:pPr>
        <w:pBdr>
          <w:left w:val="single" w:color="D97706" w:sz="12" w:space="6"/>
        </w:pBdr>
        <w:spacing w:after="120" w:before="120"/>
        <w:ind w:left="360"/>
      </w:pPr>
      <w:r>
        <w:rPr>
          <w:rFonts w:ascii="Arial" w:cs="Arial" w:eastAsia="Arial" w:hAnsi="Arial"/>
          <w:b/>
          <w:bCs/>
          <w:color w:val="D97706"/>
          <w:sz w:val="22"/>
          <w:szCs w:val="22"/>
        </w:rPr>
        <w:t xml:space="preserve">GAP (MED): RBAC role predicates exist but are not called from any API route in the current build — the route guards use requireSpectralAuth() (auth-only, no role check) or requireTenantContext() (tenant check only). Role enforcement is an open gap between the predicate library and the route layer.</w:t>
      </w:r>
    </w:p>
    <w:p>
      <w:pPr>
        <w:pStyle w:val="Heading2"/>
        <w:spacing w:after="120" w:before="240"/>
      </w:pPr>
      <w:r>
        <w:rPr>
          <w:rFonts w:ascii="Arial" w:cs="Arial" w:eastAsia="Arial" w:hAnsi="Arial"/>
          <w:b/>
          <w:bCs/>
          <w:color w:val="0B1E3A"/>
          <w:sz w:val="26"/>
          <w:szCs w:val="26"/>
        </w:rPr>
        <w:t xml:space="preserve">3.5  Tenant Context</w:t>
      </w:r>
    </w:p>
    <w:p>
      <w:pPr>
        <w:spacing w:after="120" w:line="288"/>
      </w:pPr>
      <w:r>
        <w:rPr>
          <w:rFonts w:ascii="Arial" w:cs="Arial" w:eastAsia="Arial" w:hAnsi="Arial"/>
          <w:color w:val="1F2937"/>
          <w:sz w:val="22"/>
          <w:szCs w:val="22"/>
        </w:rPr>
        <w:t xml:space="preserve">requireTenantContext() is the operations edition entry point. It derives TenantContext from: (1) demo mode shortcut, (2) authenticated Supabase user + tenant_members table join, (3) request headers. The context includes tenantId, tenantSlug, userId, role, and classification. It is called at the top of every WOPR API route and several PCM routes.</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WOPR or Operations API route</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requireTenantContext(request) → auth check → tenant_members join → classification parse</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TenantContext { tenantId, role, classification } — 401 if no user</w:t>
            </w:r>
          </w:p>
        </w:tc>
      </w:tr>
    </w:tbl>
    <w:p>
      <w:pPr>
        <w:pStyle w:val="Heading2"/>
        <w:spacing w:after="120" w:before="240"/>
      </w:pPr>
      <w:r>
        <w:rPr>
          <w:rFonts w:ascii="Arial" w:cs="Arial" w:eastAsia="Arial" w:hAnsi="Arial"/>
          <w:b/>
          <w:bCs/>
          <w:color w:val="0B1E3A"/>
          <w:sz w:val="26"/>
          <w:szCs w:val="26"/>
        </w:rPr>
        <w:t xml:space="preserve">3.6  DS Authorization Scope (Phase 1-D — In-Progress)</w:t>
      </w:r>
    </w:p>
    <w:p>
      <w:pPr>
        <w:spacing w:after="120" w:line="288"/>
      </w:pPr>
      <w:r>
        <w:rPr>
          <w:rFonts w:ascii="Arial" w:cs="Arial" w:eastAsia="Arial" w:hAnsi="Arial"/>
          <w:color w:val="1F2937"/>
          <w:sz w:val="22"/>
          <w:szCs w:val="22"/>
        </w:rPr>
        <w:t xml:space="preserve">lib/moat/ds-route-auth.ts implements three auth primitives: resolveSessionDsPlayerId() (bind DS player to auth session), assertDsPlayerMatchesSession() (reject mismatched IDs), and dsCanAccessLearner() (scope DS to exercises they supervise). authorizeDsRoute() composes all three into a single guard call. The Phase 1-D task is wiring this into the 5 DS-facing routes.</w:t>
      </w:r>
    </w:p>
    <w:p>
      <w:pPr>
        <w:spacing w:after="80"/>
      </w:pPr>
      <w:r>
        <w:rPr>
          <w:rFonts w:ascii="Arial" w:cs="Arial" w:eastAsia="Arial" w:hAnsi="Arial"/>
          <w:color w:val="1F2937"/>
          <w:sz w:val="22"/>
          <w:szCs w:val="22"/>
        </w:rPr>
        <w:t xml:space="preserve"/>
      </w:r>
    </w:p>
    <w:p>
      <w:pPr>
        <w:pBdr>
          <w:left w:val="single" w:color="D97706" w:sz="12" w:space="6"/>
        </w:pBdr>
        <w:spacing w:after="120" w:before="120"/>
        <w:ind w:left="360"/>
      </w:pPr>
      <w:r>
        <w:rPr>
          <w:rFonts w:ascii="Arial" w:cs="Arial" w:eastAsia="Arial" w:hAnsi="Arial"/>
          <w:b/>
          <w:bCs/>
          <w:color w:val="D97706"/>
          <w:sz w:val="22"/>
          <w:szCs w:val="22"/>
        </w:rPr>
        <w:t xml:space="preserve">STATUS: ds-route-auth.ts is fully implemented. Five routes still need the authorizeDsRoute() call wired: /players/[id]/competency, /players/[id]/training-plan, /exercises/[id]/debrief, /api/spectral/aar, /api/spectral/currency. Until wired, a DS player can supply any ds_player_id without session binding.</w:t>
      </w:r>
    </w:p>
    <w:p>
      <w:pPr>
        <w:pStyle w:val="Heading2"/>
        <w:spacing w:after="120" w:before="240"/>
      </w:pPr>
      <w:r>
        <w:rPr>
          <w:rFonts w:ascii="Arial" w:cs="Arial" w:eastAsia="Arial" w:hAnsi="Arial"/>
          <w:b/>
          <w:bCs/>
          <w:color w:val="0B1E3A"/>
          <w:sz w:val="26"/>
          <w:szCs w:val="26"/>
        </w:rPr>
        <w:t xml:space="preserve">3.7  Audit Log</w:t>
      </w:r>
    </w:p>
    <w:p>
      <w:pPr>
        <w:spacing w:after="120" w:line="288"/>
      </w:pPr>
      <w:r>
        <w:rPr>
          <w:rFonts w:ascii="Arial" w:cs="Arial" w:eastAsia="Arial" w:hAnsi="Arial"/>
          <w:color w:val="1F2937"/>
          <w:sz w:val="22"/>
          <w:szCs w:val="22"/>
        </w:rPr>
        <w:t xml:space="preserve">lib/operations/audit.ts provides writeAuditLog() which inserts to the audit_log Supabase table. The function is server-only (import "server-only") and never-throws (catch logs to console). Currently called only in WOPR routes (wopr.scenario.create, wopr.scenario.tick).</w:t>
      </w:r>
    </w:p>
    <w:p>
      <w:pPr>
        <w:spacing w:after="80"/>
      </w:pPr>
      <w:r>
        <w:rPr>
          <w:rFonts w:ascii="Arial" w:cs="Arial" w:eastAsia="Arial" w:hAnsi="Arial"/>
          <w:color w:val="1F2937"/>
          <w:sz w:val="22"/>
          <w:szCs w:val="22"/>
        </w:rPr>
        <w:t xml:space="preserve"/>
      </w:r>
    </w:p>
    <w:p>
      <w:pPr>
        <w:pBdr>
          <w:left w:val="single" w:color="6B7280" w:sz="12" w:space="6"/>
        </w:pBdr>
        <w:spacing w:after="120" w:before="120"/>
        <w:ind w:left="360"/>
      </w:pPr>
      <w:r>
        <w:rPr>
          <w:rFonts w:ascii="Arial" w:cs="Arial" w:eastAsia="Arial" w:hAnsi="Arial"/>
          <w:b/>
          <w:bCs/>
          <w:color w:val="6B7280"/>
          <w:sz w:val="22"/>
          <w:szCs w:val="22"/>
        </w:rPr>
        <w:t xml:space="preserve">GAP (LOW): PCM exercise creation, turn advancement, orders submission, and all import operations do not currently write audit log entries. Recommend extending writeAuditLog() to cover all state-mutation routes.</w:t>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4 · AeroCopilot (AI) — AWS Bedrock Sovereign Layer</w:t>
      </w:r>
    </w:p>
    <w:p>
      <w:pPr>
        <w:spacing w:after="120" w:line="288"/>
      </w:pPr>
      <w:r>
        <w:rPr>
          <w:rFonts w:ascii="Arial" w:cs="Arial" w:eastAsia="Arial" w:hAnsi="Arial"/>
          <w:color w:val="1F2937"/>
          <w:sz w:val="22"/>
          <w:szCs w:val="22"/>
        </w:rPr>
        <w:t xml:space="preserve">SPECTRAL uses AWS Bedrock for all Claude inference. The migration from Anthropic direct SDK was completed to establish Australian data sovereignty (Supabase ap-southeast-2 strict + Bedrock ap-southeast-2 Geo cross-region). Three call sites exist: querySpectral(), AeroCopilot POST route, and SPECTRAL-REF narrative generator. All route through a single Bedrock client module.</w:t>
      </w:r>
    </w:p>
    <w:p>
      <w:pPr>
        <w:pStyle w:val="Heading2"/>
        <w:spacing w:after="120" w:before="240"/>
      </w:pPr>
      <w:r>
        <w:rPr>
          <w:rFonts w:ascii="Arial" w:cs="Arial" w:eastAsia="Arial" w:hAnsi="Arial"/>
          <w:b/>
          <w:bCs/>
          <w:color w:val="0B1E3A"/>
          <w:sz w:val="26"/>
          <w:szCs w:val="26"/>
        </w:rPr>
        <w:t xml:space="preserve">4.1  Bedrock Client Singleton</w:t>
      </w:r>
    </w:p>
    <w:p>
      <w:pPr>
        <w:spacing w:after="120" w:line="288"/>
      </w:pPr>
      <w:r>
        <w:rPr>
          <w:rFonts w:ascii="Arial" w:cs="Arial" w:eastAsia="Arial" w:hAnsi="Arial"/>
          <w:color w:val="1F2937"/>
          <w:sz w:val="22"/>
          <w:szCs w:val="22"/>
        </w:rPr>
        <w:t xml:space="preserve">lib/claude/bedrock.ts is the single inference entry point. It exports callBedrock() (single-turn) and callBedrockMultiTurn() (conversation history). The BedrockRuntimeClient singleton is lazy-initialised and held in module scope — safe under Node.js serverless restarts. AWS credentials are read from environment at runtime.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Any server-side caller needing Claude inference</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callBedrock({ system, userContent, maxTokens?, temperature? })
→ BedrockRuntimeClient singleton
→ ConverseCommand{ modelId, system: [{text}], messages: [{role,content}] }
→ getClient().send(cmd)
Model: ap.anthropic.claude-sonnet-4-6-20250514-v1:0
Region: ap-southeast-2 (Geo cross-region routing)</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res.output?.message?.content?.[0]?.text ?? ''
Plain text string returned to caller
Error propagates — callers handle</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Multi-turn conversation (planned)</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callBedrockMultiTurn({ system, messages[], maxTokens?, temperature?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Same text string from assistant turn</w:t>
            </w:r>
          </w:p>
        </w:tc>
      </w:tr>
    </w:tbl>
    <w:p>
      <w:pPr>
        <w:spacing w:after="80"/>
      </w:pPr>
      <w:r>
        <w:rPr>
          <w:rFonts w:ascii="Arial" w:cs="Arial" w:eastAsia="Arial" w:hAnsi="Arial"/>
          <w:color w:val="1F2937"/>
          <w:sz w:val="22"/>
          <w:szCs w:val="22"/>
        </w:rPr>
        <w:t xml:space="preserve"/>
      </w:r>
    </w:p>
    <w:p>
      <w:pPr>
        <w:pBdr>
          <w:left w:val="single" w:color="16A34A" w:sz="12" w:space="6"/>
        </w:pBdr>
        <w:spacing w:after="120" w:before="120"/>
        <w:ind w:left="360"/>
      </w:pPr>
      <w:r>
        <w:rPr>
          <w:rFonts w:ascii="Arial" w:cs="Arial" w:eastAsia="Arial" w:hAnsi="Arial"/>
          <w:b/>
          <w:bCs/>
          <w:color w:val="16A34A"/>
          <w:sz w:val="22"/>
          <w:szCs w:val="22"/>
        </w:rPr>
        <w:t xml:space="preserve">STRENGTH: All 3 prior Anthropic SDK instantiations consolidated into one module. Future model changes, credential rotation, or region migration require edits only to lib/claude/bedrock.ts and BEDROCK_MODEL_ID env var.</w:t>
      </w:r>
    </w:p>
    <w:p>
      <w:pPr>
        <w:pBdr>
          <w:left w:val="single" w:color="D97706" w:sz="12" w:space="6"/>
        </w:pBdr>
        <w:spacing w:after="120" w:before="120"/>
        <w:ind w:left="360"/>
      </w:pPr>
      <w:r>
        <w:rPr>
          <w:rFonts w:ascii="Arial" w:cs="Arial" w:eastAsia="Arial" w:hAnsi="Arial"/>
          <w:b/>
          <w:bCs/>
          <w:color w:val="D97706"/>
          <w:sz w:val="22"/>
          <w:szCs w:val="22"/>
        </w:rPr>
        <w:t xml:space="preserve">ACTION REQUIRED: npm install @aws-sdk/client-bedrock-runtime in SPECTRAL directory. @anthropic-ai/sdk can be removed if no remaining callers exist (check aerocopilot-llm.ts comment blocks — they reference the SDK in comments only, not live imports).</w:t>
      </w:r>
    </w:p>
    <w:p>
      <w:pPr>
        <w:pStyle w:val="Heading2"/>
        <w:spacing w:after="120" w:before="240"/>
      </w:pPr>
      <w:r>
        <w:rPr>
          <w:rFonts w:ascii="Arial" w:cs="Arial" w:eastAsia="Arial" w:hAnsi="Arial"/>
          <w:b/>
          <w:bCs/>
          <w:color w:val="0B1E3A"/>
          <w:sz w:val="26"/>
          <w:szCs w:val="26"/>
        </w:rPr>
        <w:t xml:space="preserve">4.2  querySpectral() — Intelligence Analysis</w:t>
      </w:r>
    </w:p>
    <w:p>
      <w:pPr>
        <w:spacing w:after="120" w:line="288"/>
      </w:pPr>
      <w:r>
        <w:rPr>
          <w:rFonts w:ascii="Arial" w:cs="Arial" w:eastAsia="Arial" w:hAnsi="Arial"/>
          <w:color w:val="1F2937"/>
          <w:sz w:val="22"/>
          <w:szCs w:val="22"/>
        </w:rPr>
        <w:t xml:space="preserve">lib/claude/client.ts provides the generic intelligence query function. It accepts a question and context object (platforms, jammers, defeatSystems, incidents arrays). Context is serialised as JSON blocks before the question. The system prompt establishes the Spectral Intelligence analyst persona.</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Server component or API route calls querySpectral({ question, context })</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Filter non-empty context keys → JSON serialise → build contextStr
callBedrock({ system: SPECTRAL_INTEL_SYSTEM, userContent: contextStr + question, maxTokens: 2048, temperature: 0.3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Plain text analysis string returned to caller
NEVER passes raw Pk values in context — enforced by context schema type</w:t>
            </w:r>
          </w:p>
        </w:tc>
      </w:tr>
    </w:tbl>
    <w:p>
      <w:pPr>
        <w:spacing w:after="80"/>
      </w:pPr>
      <w:r>
        <w:rPr>
          <w:rFonts w:ascii="Arial" w:cs="Arial" w:eastAsia="Arial" w:hAnsi="Arial"/>
          <w:color w:val="1F2937"/>
          <w:sz w:val="22"/>
          <w:szCs w:val="22"/>
        </w:rPr>
        <w:t xml:space="preserve"/>
      </w:r>
    </w:p>
    <w:p>
      <w:pPr>
        <w:pBdr>
          <w:left w:val="single" w:color="16A34A" w:sz="12" w:space="6"/>
        </w:pBdr>
        <w:spacing w:after="120" w:before="120"/>
        <w:ind w:left="360"/>
      </w:pPr>
      <w:r>
        <w:rPr>
          <w:rFonts w:ascii="Arial" w:cs="Arial" w:eastAsia="Arial" w:hAnsi="Arial"/>
          <w:b/>
          <w:bCs/>
          <w:color w:val="16A34A"/>
          <w:sz w:val="22"/>
          <w:szCs w:val="22"/>
        </w:rPr>
        <w:t xml:space="preserve">SECURITY: querySpectral() context type does NOT include Pk fields, waveform profiles, or ERP data. Accredited data isolation is structurally enforced by the TypeScript interface, not just policy.</w:t>
      </w:r>
    </w:p>
    <w:p>
      <w:pPr>
        <w:pStyle w:val="Heading2"/>
        <w:spacing w:after="120" w:before="240"/>
      </w:pPr>
      <w:r>
        <w:rPr>
          <w:rFonts w:ascii="Arial" w:cs="Arial" w:eastAsia="Arial" w:hAnsi="Arial"/>
          <w:b/>
          <w:bCs/>
          <w:color w:val="0B1E3A"/>
          <w:sz w:val="26"/>
          <w:szCs w:val="26"/>
        </w:rPr>
        <w:t xml:space="preserve">4.3  AeroCopilot — Spectrum Analysis AI</w:t>
      </w:r>
    </w:p>
    <w:p>
      <w:pPr>
        <w:spacing w:after="120" w:line="288"/>
      </w:pPr>
      <w:r>
        <w:rPr>
          <w:rFonts w:ascii="Arial" w:cs="Arial" w:eastAsia="Arial" w:hAnsi="Arial"/>
          <w:color w:val="1F2937"/>
          <w:sz w:val="22"/>
          <w:szCs w:val="22"/>
        </w:rPr>
        <w:t xml:space="preserve">app/api/aerocopilot/route.ts is a POST-only Next.js route. It validates auth, checks Bedrock credentials, parses the request body (query, platforms, radars, effectors), calls callBedrock() via the AEROCOPILOT_SYSTEM prompt, and parses the JSON CopilotResponse.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Client POST /api/aerocopilot { query, platforms[], radars[], effectors[] }</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1. requireSpectralAuth() — 401 if no session
2. AWS credential check — 503 if missing
3. buildCopilotUserMessage(query, platforms, radars, effectors)
4. callBedrock({ AEROCOPILOT_SYSTEM, userContent, maxTokens: 1200, temperature: 0.3 })
5. parseCopilotResponse() — validates answer field</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NextResponse.json(parsed) → CopilotResponse { answer, sources?, confidence? }
400 if JSON parse fails
500 on Bedrock error</w:t>
            </w:r>
          </w:p>
        </w:tc>
      </w:tr>
    </w:tbl>
    <w:p>
      <w:pPr>
        <w:spacing w:after="80"/>
      </w:pPr>
      <w:r>
        <w:rPr>
          <w:rFonts w:ascii="Arial" w:cs="Arial" w:eastAsia="Arial" w:hAnsi="Arial"/>
          <w:color w:val="1F2937"/>
          <w:sz w:val="22"/>
          <w:szCs w:val="22"/>
        </w:rPr>
        <w:t xml:space="preserve"/>
      </w:r>
    </w:p>
    <w:p>
      <w:pPr>
        <w:pBdr>
          <w:left w:val="single" w:color="06B6D4" w:sz="12" w:space="6"/>
        </w:pBdr>
        <w:spacing w:after="120" w:before="120"/>
        <w:ind w:left="360"/>
      </w:pPr>
      <w:r>
        <w:rPr>
          <w:rFonts w:ascii="Arial" w:cs="Arial" w:eastAsia="Arial" w:hAnsi="Arial"/>
          <w:b/>
          <w:bCs/>
          <w:color w:val="06B6D4"/>
          <w:sz w:val="22"/>
          <w:szCs w:val="22"/>
        </w:rPr>
        <w:t xml:space="preserve">GAP (INFO): No rate limiting on /api/aerocopilot. Each request hits Bedrock (~100–500ms). Under aggressive client polling or swarm use, Bedrock token costs and latency could spike. Recommend adding an in-memory rate limiter or edge caching layer.</w:t>
      </w:r>
    </w:p>
    <w:p>
      <w:pPr>
        <w:pStyle w:val="Heading2"/>
        <w:spacing w:after="120" w:before="240"/>
      </w:pPr>
      <w:r>
        <w:rPr>
          <w:rFonts w:ascii="Arial" w:cs="Arial" w:eastAsia="Arial" w:hAnsi="Arial"/>
          <w:b/>
          <w:bCs/>
          <w:color w:val="0B1E3A"/>
          <w:sz w:val="26"/>
          <w:szCs w:val="26"/>
        </w:rPr>
        <w:t xml:space="preserve">4.4  SPECTRAL-REF — PCM Narrative Engine</w:t>
      </w:r>
    </w:p>
    <w:p>
      <w:pPr>
        <w:spacing w:after="120" w:line="288"/>
      </w:pPr>
      <w:r>
        <w:rPr>
          <w:rFonts w:ascii="Arial" w:cs="Arial" w:eastAsia="Arial" w:hAnsi="Arial"/>
          <w:color w:val="1F2937"/>
          <w:sz w:val="22"/>
          <w:szCs w:val="22"/>
        </w:rPr>
        <w:t xml:space="preserve">lib/pcm/spectralRefApi.ts generates the Directing Staff (DS) briefing and Socratic coaching question after each PCM turn. It is called from SpectralRefOrchestrator.adjudicateTurn(). The REF is strictly a narrator — it does NOT resolve combat. buildRefSystemPrompt() enforces this via explicit persona constraints.</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SpectralRefOrchestrator.adjudicateTurn() after combat resolution</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buildRefSystemPrompt() — strictly narrator + coaching, no combat resolution
buildRefUserMessage(worldState, redOrders, blueOrders) — turn/phase/contacts summary (no raw Pk)
callBedrock({ maxTokens: 4096, temperature: 0.3 })
parseRefRaw() — strip ```json fences → JSON.parse → fallback on error</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RefRawResponse { reasoning, ds_briefing, blue_suggestion, proposed_inject_id }
Wrapped in OversightGate{ requires_ds_approval, proposed_result, ds_approved }</w:t>
            </w:r>
          </w:p>
        </w:tc>
      </w:tr>
    </w:tbl>
    <w:p>
      <w:pPr>
        <w:spacing w:after="80"/>
      </w:pPr>
      <w:r>
        <w:rPr>
          <w:rFonts w:ascii="Arial" w:cs="Arial" w:eastAsia="Arial" w:hAnsi="Arial"/>
          <w:color w:val="1F2937"/>
          <w:sz w:val="22"/>
          <w:szCs w:val="22"/>
        </w:rPr>
        <w:t xml:space="preserve"/>
      </w:r>
    </w:p>
    <w:p>
      <w:pPr>
        <w:pBdr>
          <w:left w:val="single" w:color="16A34A" w:sz="12" w:space="6"/>
        </w:pBdr>
        <w:spacing w:after="120" w:before="120"/>
        <w:ind w:left="360"/>
      </w:pPr>
      <w:r>
        <w:rPr>
          <w:rFonts w:ascii="Arial" w:cs="Arial" w:eastAsia="Arial" w:hAnsi="Arial"/>
          <w:b/>
          <w:bCs/>
          <w:color w:val="16A34A"/>
          <w:sz w:val="22"/>
          <w:szCs w:val="22"/>
        </w:rPr>
        <w:t xml:space="preserve">STRENGTH: parseRefRaw() has a hard fallback: on JSON parse error it returns a safe RefRawResponse with ds_briefing = "REF narrative parse error — manual DS review required." The game never crashes from an LLM format violation.</w:t>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5 · Mission &amp; Ops Flow (PCM / WOPR)</w:t>
      </w:r>
    </w:p>
    <w:p>
      <w:pPr>
        <w:spacing w:after="120" w:line="288"/>
      </w:pPr>
      <w:r>
        <w:rPr>
          <w:rFonts w:ascii="Arial" w:cs="Arial" w:eastAsia="Arial" w:hAnsi="Arial"/>
          <w:color w:val="1F2937"/>
          <w:sz w:val="22"/>
          <w:szCs w:val="22"/>
        </w:rPr>
        <w:t xml:space="preserve">The Mission &amp; Ops subsystem is the largest single component in SPECTRAL. It comprises the Persistent Combat Model (PCM) — a multi-turn text-wargame engine — and the WOPR (Red/Blue Arena) — a CesiumJS 3D operational scenario engine. Both share the Supabase data layer but have separate world state management.</w:t>
      </w:r>
    </w:p>
    <w:p>
      <w:pPr>
        <w:pStyle w:val="Heading2"/>
        <w:spacing w:after="120" w:before="240"/>
      </w:pPr>
      <w:r>
        <w:rPr>
          <w:rFonts w:ascii="Arial" w:cs="Arial" w:eastAsia="Arial" w:hAnsi="Arial"/>
          <w:b/>
          <w:bCs/>
          <w:color w:val="0B1E3A"/>
          <w:sz w:val="26"/>
          <w:szCs w:val="26"/>
        </w:rPr>
        <w:t xml:space="preserve">5.1  PCM: Exercise Lifecycle</w:t>
      </w:r>
    </w:p>
    <w:p>
      <w:pPr>
        <w:spacing w:after="120" w:line="288"/>
      </w:pPr>
      <w:r>
        <w:rPr>
          <w:rFonts w:ascii="Arial" w:cs="Arial" w:eastAsia="Arial" w:hAnsi="Arial"/>
          <w:color w:val="1F2937"/>
          <w:sz w:val="22"/>
          <w:szCs w:val="22"/>
        </w:rPr>
        <w:t xml:space="preserve">The PCM exercise runs as a sequence of discrete phases. WorldStateEngine (WSE) is the singleton SSoT. All world state reads and writes flow through it; players receive filtered sensor pictures only — they never see raw world state.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POST /api/spectral/exercises (DS initiates exercise)</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worldStateEngine.createExercise({ scenario_id, ds_player_id, blue_player_id, red_player_id? })
→ spectral_scenarios lookup
→ initial WorldState construction
→ difficulty modifiers applied
→ INSERT spectral_exercises + spectral_world_states</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CreateExerciseResponse { exercise_id, initial_world_state, red_sensor_picture, blue_sensor_picture } → spectral_exercises table</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POST /exercises/[id]/start (DS starts exercise)</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worldStateEngine.startExercise(id, ds_player_id)
→ validate DS role
→ UPDATE spectral_exercises.status → active</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 success, exercise_id } — exercise is now live for order submission</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POST /exercises/[id]/orders (player submits orders)</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requireSpectralAuth() → worldStateEngine.submitOrders({ exercise_id, force, player_id, orders })
→ validate force ∈ {RED, BLUE}
→ INSERT spectral_orders for this turn</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SubmitOrdersResponse { accepted, waiting_on } — both forces must submit before turn can advance</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POST /exercises/[id]/turn (DS advances turn)</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1. requireSpectralAuth()
2. worldStateEngine.advanceTurn({ exercise_id, ds_player_id, force_advance })
3. preloadAccreditedData() → AccreditedDataLayer (PCM-scoped only)
4. SpectralRefOrchestrator.adjudicateTurn() → AdjudicationCore.resolveTurn()
5. generateRefNarrative() → callBedrock()
6. Fog of War filtering → sensor pictures
7. processMoatAfterTurn() → learner model update
8. worldStateEngine.saveWorldState()</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AdvanceTurnResponse { turn, events[], ds_briefing, blue_suggestion, outcome }
DB: spectral_world_states updated
DB: spectral_turn_records inserted
DB: spectral_competency_records updated (via MOAT)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Exercise outcome reached (turns exhausted / objective met)</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evaluateOutcome() → blue_wins | red_wins | stalemate
finaliseExercise() → UPDATE spectral_exercises.status → complete
finaliseExerciseAAR() → AARDocument generation</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GET /exercises/[id]/aar → AARDocument with turn-by-turn analysis</w:t>
            </w:r>
          </w:p>
        </w:tc>
      </w:tr>
    </w:tbl>
    <w:p>
      <w:pPr>
        <w:spacing w:after="80"/>
      </w:pPr>
      <w:r>
        <w:rPr>
          <w:rFonts w:ascii="Arial" w:cs="Arial" w:eastAsia="Arial" w:hAnsi="Arial"/>
          <w:color w:val="1F2937"/>
          <w:sz w:val="22"/>
          <w:szCs w:val="22"/>
        </w:rPr>
        <w:t xml:space="preserve"/>
      </w:r>
    </w:p>
    <w:p>
      <w:pPr>
        <w:pBdr>
          <w:left w:val="single" w:color="16A34A" w:sz="12" w:space="6"/>
        </w:pBdr>
        <w:spacing w:after="120" w:before="120"/>
        <w:ind w:left="360"/>
      </w:pPr>
      <w:r>
        <w:rPr>
          <w:rFonts w:ascii="Arial" w:cs="Arial" w:eastAsia="Arial" w:hAnsi="Arial"/>
          <w:b/>
          <w:bCs/>
          <w:color w:val="16A34A"/>
          <w:sz w:val="22"/>
          <w:szCs w:val="22"/>
        </w:rPr>
        <w:t xml:space="preserve">CONSTRAINT ENFORCED: processMoatAfterTurn() is the ONLY write path to the learner model. Direct INSERT to spectral_competency_records is prohibited by convention — the MOAT engine does not receive Pk values, accredited data, or raw adjudication internals.</w:t>
      </w:r>
    </w:p>
    <w:p>
      <w:pPr>
        <w:pStyle w:val="Heading2"/>
        <w:spacing w:after="120" w:before="240"/>
      </w:pPr>
      <w:r>
        <w:rPr>
          <w:rFonts w:ascii="Arial" w:cs="Arial" w:eastAsia="Arial" w:hAnsi="Arial"/>
          <w:b/>
          <w:bCs/>
          <w:color w:val="0B1E3A"/>
          <w:sz w:val="26"/>
          <w:szCs w:val="26"/>
        </w:rPr>
        <w:t xml:space="preserve">5.2  PCM: Adjudication Core Architecture</w:t>
      </w:r>
    </w:p>
    <w:p>
      <w:pPr>
        <w:spacing w:after="120" w:line="288"/>
      </w:pPr>
      <w:r>
        <w:rPr>
          <w:rFonts w:ascii="Arial" w:cs="Arial" w:eastAsia="Arial" w:hAnsi="Arial"/>
          <w:color w:val="1F2937"/>
          <w:sz w:val="22"/>
          <w:szCs w:val="22"/>
        </w:rPr>
        <w:t xml:space="preserve">Three adjudication cores exist, selected at runtime by defaultCore() in spectralRefOrchestrator.ts. The interface is a single resolveTurn() method, making all three interchangeable without touching the WSE.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trainingAdjudicationCore</w:t>
            </w:r>
          </w:p>
        </w:tc>
        <w:tc>
          <w:tcPr>
            <w:tcW w:type="dxa" w:w="74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0"/>
                <w:szCs w:val="20"/>
              </w:rPr>
              <w:t xml:space="preserve">Full training implementation — detection, engagement, fog of war, GNSS jamming effects, EW combat resolution, salvo coordination, difficulty modifiers, seeded RNG for reproducibility</w:t>
            </w:r>
          </w:p>
        </w:tc>
      </w:tr>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operationalAdjudicationCore</w:t>
            </w:r>
          </w:p>
        </w:tc>
        <w:tc>
          <w:tcPr>
            <w:tcW w:type="dxa" w:w="74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Wrapper around trainingAdjudicationCore — identical resolution. Pair path uses accredited Pk/ERP when available (SPECTRAL_ACCREDITED_RESOLVER=true). Active in Operations edition.</w:t>
            </w:r>
          </w:p>
        </w:tc>
      </w:tr>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placeholderAdjudicationCore</w:t>
            </w:r>
          </w:p>
        </w:tc>
        <w:tc>
          <w:tcPr>
            <w:tcW w:type="dxa" w:w="74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0"/>
                <w:szCs w:val="20"/>
              </w:rPr>
              <w:t xml:space="preserve">Stub — no combat resolved. Emits single visible-to-DS event: "ADJUDICATION CORE NOT IMPLEMENTED." Active when SPECTRAL_PCM_STUB_ADJUDICATION=true.</w:t>
            </w:r>
          </w:p>
        </w:tc>
      </w:tr>
    </w:tbl>
    <w:p>
      <w:pPr>
        <w:spacing w:after="80"/>
      </w:pPr>
      <w:r>
        <w:rPr>
          <w:rFonts w:ascii="Arial" w:cs="Arial" w:eastAsia="Arial" w:hAnsi="Arial"/>
          <w:color w:val="1F2937"/>
          <w:sz w:val="22"/>
          <w:szCs w:val="22"/>
        </w:rPr>
        <w:t xml:space="preserve"/>
      </w:r>
    </w:p>
    <w:p>
      <w:pPr>
        <w:spacing w:after="120" w:line="288"/>
      </w:pPr>
      <w:r>
        <w:rPr>
          <w:rFonts w:ascii="Arial" w:cs="Arial" w:eastAsia="Arial" w:hAnsi="Arial"/>
          <w:color w:val="1F2937"/>
          <w:sz w:val="22"/>
          <w:szCs w:val="22"/>
        </w:rPr>
        <w:t xml:space="preserve">The accredited data layer is preloaded once per turn by buildAccreditedDataLayer() before core selection. selectAccreditedPk() applies the right Pk column based on defender group: pk_rf_jamming_pct (EW), pk_dew_pct (DEW), pk_kinetic_pct (kinetic). The AccreditedDataLayer Map is PCM-scoped and never passed to the learner model or client.</w:t>
      </w:r>
    </w:p>
    <w:p>
      <w:pPr>
        <w:pStyle w:val="Heading2"/>
        <w:spacing w:after="120" w:before="240"/>
      </w:pPr>
      <w:r>
        <w:rPr>
          <w:rFonts w:ascii="Arial" w:cs="Arial" w:eastAsia="Arial" w:hAnsi="Arial"/>
          <w:b/>
          <w:bCs/>
          <w:color w:val="0B1E3A"/>
          <w:sz w:val="26"/>
          <w:szCs w:val="26"/>
        </w:rPr>
        <w:t xml:space="preserve">5.3  PCM: GNSS Adjudication Bridge</w:t>
      </w:r>
    </w:p>
    <w:p>
      <w:pPr>
        <w:spacing w:after="120" w:line="288"/>
      </w:pPr>
      <w:r>
        <w:rPr>
          <w:rFonts w:ascii="Arial" w:cs="Arial" w:eastAsia="Arial" w:hAnsi="Arial"/>
          <w:color w:val="1F2937"/>
          <w:sz w:val="22"/>
          <w:szCs w:val="22"/>
        </w:rPr>
        <w:t xml:space="preserve">lib/pcm/gnss-adjudication-bridge.ts is the single permitted connection between lib/gnss/ and lib/pcm/. It exports gnssVulnerabilityForPlatform() and countGnssDependentThreats(). These are pure functions — no Supabase I/O — operating on pre-fetched GnssPlatformDependency arrays. Any future GNSS-PCM coupling must route through this file.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trainingAdjudicationCore during GNSS jamming evaluation</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gnssVulnerabilityForPlatform(platformId, deps[])
countGnssDependentThreats(threatIds[], deps[], activeJamming)
— dependency_level: primary + jamming_effect: mission_kill → removes platform from engagement</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Jamming effect applied to worldState contacts (mission_kill → degraded accuracy / mission abort)
Only GNSS-dependent red platforms affected</w:t>
            </w:r>
          </w:p>
        </w:tc>
      </w:tr>
    </w:tbl>
    <w:p>
      <w:pPr>
        <w:pStyle w:val="Heading2"/>
        <w:spacing w:after="120" w:before="240"/>
      </w:pPr>
      <w:r>
        <w:rPr>
          <w:rFonts w:ascii="Arial" w:cs="Arial" w:eastAsia="Arial" w:hAnsi="Arial"/>
          <w:b/>
          <w:bCs/>
          <w:color w:val="0B1E3A"/>
          <w:sz w:val="26"/>
          <w:szCs w:val="26"/>
        </w:rPr>
        <w:t xml:space="preserve">5.4  PCM: Learner Model (MOAT)</w:t>
      </w:r>
    </w:p>
    <w:p>
      <w:pPr>
        <w:spacing w:after="120" w:line="288"/>
      </w:pPr>
      <w:r>
        <w:rPr>
          <w:rFonts w:ascii="Arial" w:cs="Arial" w:eastAsia="Arial" w:hAnsi="Arial"/>
          <w:color w:val="1F2937"/>
          <w:sz w:val="22"/>
          <w:szCs w:val="22"/>
        </w:rPr>
        <w:t xml:space="preserve">lib/moat/ contains the longitudinal competency tracking engine. The LearnerModelEngine ingests TurnObservation records (what the trainee DID — never what the combat engine resolved). ingestTurn() is idempotent per (exercise, turn). The CurriculumEngine maps competency gaps to training assignments. The CurrencyEngine tracks qualification status.</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processMoatAfterTurn() called at end of each successful turn</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Extract ObservedBehaviour[] from adjudication result (safe fields only)
Build TurnObservation { exercise_id, turn, decision_time_sec, context_flags, behaviours[] }
learnerModelEngine.ingestTurn(record, observation)
curriculumEngine.updatePlan(record)
writeToSupabase(spectral_competency_records, spectral_training_plans)</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DB: spectral_competency_records — LongitudinalCompetencyRecord updated
DB: spectral_training_plans — next training assignments
GET /players/[id]/competency → CompetencySummary with blind_spots[]</w:t>
            </w:r>
          </w:p>
        </w:tc>
      </w:tr>
    </w:tbl>
    <w:p>
      <w:pPr>
        <w:pStyle w:val="Heading2"/>
        <w:spacing w:after="120" w:before="240"/>
      </w:pPr>
      <w:r>
        <w:rPr>
          <w:rFonts w:ascii="Arial" w:cs="Arial" w:eastAsia="Arial" w:hAnsi="Arial"/>
          <w:b/>
          <w:bCs/>
          <w:color w:val="0B1E3A"/>
          <w:sz w:val="26"/>
          <w:szCs w:val="26"/>
        </w:rPr>
        <w:t xml:space="preserve">5.5  WOPR: Real-Time Wargame Engine</w:t>
      </w:r>
    </w:p>
    <w:p>
      <w:pPr>
        <w:spacing w:after="120" w:line="288"/>
      </w:pPr>
      <w:r>
        <w:rPr>
          <w:rFonts w:ascii="Arial" w:cs="Arial" w:eastAsia="Arial" w:hAnsi="Arial"/>
          <w:color w:val="1F2937"/>
          <w:sz w:val="22"/>
          <w:szCs w:val="22"/>
        </w:rPr>
        <w:t xml:space="preserve">The WOPR (lib/wopr/) is a simpler, real-time scenario engine for the Red/Blue Arena CesiumJS view. It operates on WoprScenario objects with a WorldState structure distinct from PCM. WOPR scenarios are stored in both Supabase (wopr_scenarios) and an in-memory global Map for low-latency reads.</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POST /api/v1/wopr/scenarios (create scenario)</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requireTenantContext() → worldStateFromTemplate() (optional)
creatScenario() → INSERT wopr_scenarios
writeAuditLog(wopr.scenario.create)</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WoprScenario persisted to DB + memory store
classification field in response</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POST /api/v1/wopr/scenarios/[id]/tick (advance one turn)</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getScenario() → advanceScenario(scenario)
In Operations: refreshScenarioPropagation() → lib/propagation/ compute
publishTick() → lib/wopr/live-bus.ts SSE channel
saveScenario() → DB update
writeAuditLog(wopr.scenario.tick)</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Updated WoprScenario + TickResult { turn, red_picture, blue_picture, events[] }
SSE stream delivers tick to CesiumJS client in real time</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GET /api/v1/wopr/scenarios/[id]/stream (SSE)</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lib/wopr/live-bus.ts — EventEmitter per tenant per scenario</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Server-Sent Events stream → CesiumArena.tsx client receives ticks</w:t>
            </w:r>
          </w:p>
        </w:tc>
      </w:tr>
    </w:tbl>
    <w:p>
      <w:pPr>
        <w:spacing w:after="80"/>
      </w:pPr>
      <w:r>
        <w:rPr>
          <w:rFonts w:ascii="Arial" w:cs="Arial" w:eastAsia="Arial" w:hAnsi="Arial"/>
          <w:color w:val="1F2937"/>
          <w:sz w:val="22"/>
          <w:szCs w:val="22"/>
        </w:rPr>
        <w:t xml:space="preserve"/>
      </w:r>
    </w:p>
    <w:p>
      <w:pPr>
        <w:pBdr>
          <w:left w:val="single" w:color="DC2626" w:sz="12" w:space="6"/>
        </w:pBdr>
        <w:spacing w:after="120" w:before="120"/>
        <w:ind w:left="360"/>
      </w:pPr>
      <w:r>
        <w:rPr>
          <w:rFonts w:ascii="Arial" w:cs="Arial" w:eastAsia="Arial" w:hAnsi="Arial"/>
          <w:b/>
          <w:bCs/>
          <w:color w:val="DC2626"/>
          <w:sz w:val="22"/>
          <w:szCs w:val="22"/>
        </w:rPr>
        <w:t xml:space="preserve">RISK (HIGH): lib/wopr/store.ts uses globalThis.__woprScenarioMemory — a Node.js module-level Map. Under Vercel serverless, each function instance has an independent memory space. A cold start returns an empty Map. The DB fallback (listScenarios, getScenario) mitigates this, but tick-level state (propagation_cache, live tick events) written only to memory is lost on cold start. Phase 2 fix: persist tick state to DB on every tick. Workaround: keep Vercel functions warm or move to a persistent edge compute.</w:t>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6 · Data Layer / Supabase</w:t>
      </w:r>
    </w:p>
    <w:p>
      <w:pPr>
        <w:spacing w:after="120" w:line="288"/>
      </w:pPr>
      <w:r>
        <w:rPr>
          <w:rFonts w:ascii="Arial" w:cs="Arial" w:eastAsia="Arial" w:hAnsi="Arial"/>
          <w:color w:val="1F2937"/>
          <w:sz w:val="22"/>
          <w:szCs w:val="22"/>
        </w:rPr>
        <w:t xml:space="preserve">SPECTRAL uses a strictly tiered Supabase access pattern with three client tiers, 30+ ordered migrations, and a DB-first / offline-fallback strategy for accredited supplement data.</w:t>
      </w:r>
    </w:p>
    <w:p>
      <w:pPr>
        <w:pStyle w:val="Heading2"/>
        <w:spacing w:after="120" w:before="240"/>
      </w:pPr>
      <w:r>
        <w:rPr>
          <w:rFonts w:ascii="Arial" w:cs="Arial" w:eastAsia="Arial" w:hAnsi="Arial"/>
          <w:b/>
          <w:bCs/>
          <w:color w:val="0B1E3A"/>
          <w:sz w:val="26"/>
          <w:szCs w:val="26"/>
        </w:rPr>
        <w:t xml:space="preserve">6.1  Client Tier Architecture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lib/supabase/client.ts (browser)</w:t>
            </w:r>
          </w:p>
        </w:tc>
        <w:tc>
          <w:tcPr>
            <w:tcW w:type="dxa" w:w="74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0"/>
                <w:szCs w:val="20"/>
              </w:rPr>
              <w:t xml:space="preserve">createBrowserClient() — anon key only. Used in client components. RLS enforced by auth.uid(). Never has service role access.</w:t>
            </w:r>
          </w:p>
        </w:tc>
      </w:tr>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lib/supabase/server.ts createClient()</w:t>
            </w:r>
          </w:p>
        </w:tc>
        <w:tc>
          <w:tcPr>
            <w:tcW w:type="dxa" w:w="74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createServerClient() with cookie forwarding. Anon key in normal use. Demo mode: auto-elevates to service client (bypasses RLS). Server Components + API routes.</w:t>
            </w:r>
          </w:p>
        </w:tc>
      </w:tr>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lib/supabase/server.ts createServiceClient()</w:t>
            </w:r>
          </w:p>
        </w:tc>
        <w:tc>
          <w:tcPr>
            <w:tcW w:type="dxa" w:w="74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20"/>
                <w:szCs w:val="20"/>
              </w:rPr>
              <w:t xml:space="preserve">Service role key — no RLS. Explicit call only. Used sparingly for admin operations.</w:t>
            </w:r>
          </w:p>
        </w:tc>
      </w:tr>
      <w:tr>
        <w:tc>
          <w:tcPr>
            <w:tcW w:type="dxa" w:w="2600"/>
            <w:tcBorders>
              <w:top w:val="single" w:color="D0E8F4" w:sz="4"/>
              <w:left w:val="single" w:color="D0E8F4" w:sz="4"/>
              <w:bottom w:val="single" w:color="D0E8F4" w:sz="4"/>
              <w:right w:val="single" w:color="D0E8F4" w:sz="4"/>
            </w:tcBorders>
            <w:shd w:fill="D0E8F4" w:val="clear"/>
            <w:tcMar>
              <w:top w:type="dxa" w:w="80"/>
              <w:left w:type="dxa" w:w="120"/>
              <w:bottom w:type="dxa" w:w="80"/>
              <w:right w:type="dxa" w:w="120"/>
            </w:tcMar>
            <w:vAlign w:val="top"/>
          </w:tcPr>
          <w:p>
            <w:r>
              <w:rPr>
                <w:rFonts w:ascii="Arial" w:cs="Arial" w:eastAsia="Arial" w:hAnsi="Arial"/>
                <w:b/>
                <w:bCs/>
                <w:color w:val="0B1E3A"/>
                <w:sz w:val="20"/>
                <w:szCs w:val="20"/>
              </w:rPr>
              <w:t xml:space="preserve">lib/supabase/service-role-node.ts</w:t>
            </w:r>
          </w:p>
        </w:tc>
        <w:tc>
          <w:tcPr>
            <w:tcW w:type="dxa" w:w="74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Node.js runtime service role client with WebSocket transport (ws package). Used by WorldStateEngine (PCM adjudication) and standalone scripts. Server-only — never imported from client code.</w:t>
            </w:r>
          </w:p>
        </w:tc>
      </w:tr>
    </w:tbl>
    <w:p>
      <w:pPr>
        <w:spacing w:after="80"/>
      </w:pPr>
      <w:r>
        <w:rPr>
          <w:rFonts w:ascii="Arial" w:cs="Arial" w:eastAsia="Arial" w:hAnsi="Arial"/>
          <w:color w:val="1F2937"/>
          <w:sz w:val="22"/>
          <w:szCs w:val="22"/>
        </w:rPr>
        <w:t xml:space="preserve"/>
      </w:r>
    </w:p>
    <w:p>
      <w:pPr>
        <w:pBdr>
          <w:left w:val="single" w:color="DC2626" w:sz="12" w:space="6"/>
        </w:pBdr>
        <w:spacing w:after="120" w:before="120"/>
        <w:ind w:left="360"/>
      </w:pPr>
      <w:r>
        <w:rPr>
          <w:rFonts w:ascii="Arial" w:cs="Arial" w:eastAsia="Arial" w:hAnsi="Arial"/>
          <w:b/>
          <w:bCs/>
          <w:color w:val="DC2626"/>
          <w:sz w:val="22"/>
          <w:szCs w:val="22"/>
        </w:rPr>
        <w:t xml:space="preserve">RISK (HIGH): lib/supabase/server.ts createClient() auto-elevates to service role when isDemoMode() is true. NEXT_PUBLIC_DEMO_MODE=true is checked client-side too. If this flag is accidentally set in a non-local deployment, all server-side queries bypass RLS. The demo mode path should check SPECTRAL_EDITION !== "operations" as an additional guard.</w:t>
      </w:r>
    </w:p>
    <w:p>
      <w:pPr>
        <w:pStyle w:val="Heading2"/>
        <w:spacing w:after="120" w:before="240"/>
      </w:pPr>
      <w:r>
        <w:rPr>
          <w:rFonts w:ascii="Arial" w:cs="Arial" w:eastAsia="Arial" w:hAnsi="Arial"/>
          <w:b/>
          <w:bCs/>
          <w:color w:val="0B1E3A"/>
          <w:sz w:val="26"/>
          <w:szCs w:val="26"/>
        </w:rPr>
        <w:t xml:space="preserve">6.2  Migration History &amp; Schema Integrity</w:t>
      </w:r>
    </w:p>
    <w:p>
      <w:pPr>
        <w:spacing w:after="120" w:line="288"/>
      </w:pPr>
      <w:r>
        <w:rPr>
          <w:rFonts w:ascii="Arial" w:cs="Arial" w:eastAsia="Arial" w:hAnsi="Arial"/>
          <w:color w:val="1F2937"/>
          <w:sz w:val="22"/>
          <w:szCs w:val="22"/>
        </w:rPr>
        <w:t xml:space="preserve">30+ migrations cover the full schema lifecycle, applied in strict timestamp order. Key dependencies: initial_schema (baseline) → platform_library → defeat_matrix → operations_edition (tenant + audit_log) → accredited_training_supplements → spectral_world_state_engine → learner_model → wopr_scenarios_rls.</w:t>
      </w:r>
    </w:p>
    <w:p>
      <w:pPr>
        <w:spacing w:after="80"/>
      </w:pPr>
      <w:r>
        <w:rPr>
          <w:rFonts w:ascii="Arial" w:cs="Arial" w:eastAsia="Arial" w:hAnsi="Arial"/>
          <w:color w:val="1F2937"/>
          <w:sz w:val="22"/>
          <w:szCs w:val="22"/>
        </w:rPr>
        <w:t xml:space="preserve"/>
      </w:r>
    </w:p>
    <w:p>
      <w:pPr>
        <w:pBdr>
          <w:left w:val="single" w:color="D97706" w:sz="12" w:space="6"/>
        </w:pBdr>
        <w:spacing w:after="120" w:before="120"/>
        <w:ind w:left="360"/>
      </w:pPr>
      <w:r>
        <w:rPr>
          <w:rFonts w:ascii="Arial" w:cs="Arial" w:eastAsia="Arial" w:hAnsi="Arial"/>
          <w:b/>
          <w:bCs/>
          <w:color w:val="D97706"/>
          <w:sz w:val="22"/>
          <w:szCs w:val="22"/>
        </w:rPr>
        <w:t xml:space="preserve">PENDING: Migrations 20260624120000 (Iran missile platforms) and 20260624130000 (Allied cruise missiles) are written but not yet applied. The allied missiles migration drops and re-adds the guidance_type constraint — Iran migration MUST run first. Apply with: supabase db push (or Supabase MCP apply_migration) — Iran before allied.</w:t>
      </w:r>
    </w:p>
    <w:p>
      <w:pPr>
        <w:pBdr>
          <w:left w:val="single" w:color="D97706" w:sz="12" w:space="6"/>
        </w:pBdr>
        <w:spacing w:after="120" w:before="120"/>
        <w:ind w:left="360"/>
      </w:pPr>
      <w:r>
        <w:rPr>
          <w:rFonts w:ascii="Arial" w:cs="Arial" w:eastAsia="Arial" w:hAnsi="Arial"/>
          <w:b/>
          <w:bCs/>
          <w:color w:val="D97706"/>
          <w:sz w:val="22"/>
          <w:szCs w:val="22"/>
        </w:rPr>
        <w:t xml:space="preserve">FINDING: lib/conflict/ and lib/conflicts/ are duplicate directories containing near-identical type and query definitions (conflict-types.ts / types.ts, conflict-queries.ts / queries.ts). One should be consolidated into the other to eliminate import ambiguity.</w:t>
      </w:r>
    </w:p>
    <w:p>
      <w:pPr>
        <w:pStyle w:val="Heading2"/>
        <w:spacing w:after="120" w:before="240"/>
      </w:pPr>
      <w:r>
        <w:rPr>
          <w:rFonts w:ascii="Arial" w:cs="Arial" w:eastAsia="Arial" w:hAnsi="Arial"/>
          <w:b/>
          <w:bCs/>
          <w:color w:val="0B1E3A"/>
          <w:sz w:val="26"/>
          <w:szCs w:val="26"/>
        </w:rPr>
        <w:t xml:space="preserve">6.3  Accredited Supplement Layer</w:t>
      </w:r>
    </w:p>
    <w:p>
      <w:pPr>
        <w:spacing w:after="120" w:line="288"/>
      </w:pPr>
      <w:r>
        <w:rPr>
          <w:rFonts w:ascii="Arial" w:cs="Arial" w:eastAsia="Arial" w:hAnsi="Arial"/>
          <w:color w:val="1F2937"/>
          <w:sz w:val="22"/>
          <w:szCs w:val="22"/>
        </w:rPr>
        <w:t xml:space="preserve">lib/operations/accredited-supplements.ts implements a DB-first / offline-fallback pattern for accredited Pk, waveform, and ERP profiles. All three functions (fetchAccreditedWaveforms, fetchAccreditedErp, fetchAllAccreditedDefeatPk) attempt the Supabase query first, then fall back to OFFLINE_* constants from accredited-supplements-data.ts on any error or empty result. This means accredited data is available even in air-gapped or network-degraded environments.</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PCM adjudication: buildAccreditedDataLayer(threatIds, defeatSystemIds)</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fetchAllAccreditedDefeatPk(platformIds, defeatSystemIds)
→ Supabase accredited_defeat_pk table (SPECTRAL_ACCREDITED_RESOLVER=true)
→ Fallback: OFFLINE_ACCREDITED_DEFEAT_PK constants
Returns Map&lt;"platformId:systemId", AccreditedDefeatPkRow&gt;</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AccreditedDataLayer passed to adjudicationCore.resolveTurn() only
NEVER exported to lib/moat/ or client</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Spectrum View: waveform/ERP profile fetch</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fetchAccreditedWaveforms(systemId?) or fetchAccreditedErp(systemId?)
→ Supabase tables → offline fallback</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AccreditedWaveformProfile[] or AccreditedErpProfile[] → Spectrum View D3 chart overlay</w:t>
            </w:r>
          </w:p>
        </w:tc>
      </w:tr>
    </w:tbl>
    <w:p>
      <w:pPr>
        <w:pStyle w:val="Heading2"/>
        <w:spacing w:after="120" w:before="240"/>
      </w:pPr>
      <w:r>
        <w:rPr>
          <w:rFonts w:ascii="Arial" w:cs="Arial" w:eastAsia="Arial" w:hAnsi="Arial"/>
          <w:b/>
          <w:bCs/>
          <w:color w:val="0B1E3A"/>
          <w:sz w:val="26"/>
          <w:szCs w:val="26"/>
        </w:rPr>
        <w:t xml:space="preserve">6.4  Platform Catalogue Queries</w:t>
      </w:r>
    </w:p>
    <w:p>
      <w:pPr>
        <w:spacing w:after="120" w:line="288"/>
      </w:pPr>
      <w:r>
        <w:rPr>
          <w:rFonts w:ascii="Arial" w:cs="Arial" w:eastAsia="Arial" w:hAnsi="Arial"/>
          <w:color w:val="1F2937"/>
          <w:sz w:val="22"/>
          <w:szCs w:val="22"/>
        </w:rPr>
        <w:t xml:space="preserve">lib/platforms/queries.ts is server-only (import "server-only"). It uses createClient() (anon key + RLS) for all reads. Platforms table supports full text, country, category, and boolean flag filtering. getDistinctCountries() is used by filter UI. getPlatformCountermeasures() joins to anti_drone_systems via defeat_effectiveness for the 1v1 Overlay.</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Server Component or /api route needing platform data</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getAllPlatforms() | getPlatformById(id) | getPlatformsByIds(ids[])
→ createClient() (server)
→ Supabase platforms table SELECT * .order("name")</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Platform[] with normalised boolean fields (gnss_independent, ai_autonomous, swarm_capable → false if null)</w:t>
            </w:r>
          </w:p>
        </w:tc>
      </w:tr>
    </w:tbl>
    <w:p>
      <w:pPr>
        <w:pStyle w:val="Heading2"/>
        <w:spacing w:after="120" w:before="240"/>
      </w:pPr>
      <w:r>
        <w:rPr>
          <w:rFonts w:ascii="Arial" w:cs="Arial" w:eastAsia="Arial" w:hAnsi="Arial"/>
          <w:b/>
          <w:bCs/>
          <w:color w:val="0B1E3A"/>
          <w:sz w:val="26"/>
          <w:szCs w:val="26"/>
        </w:rPr>
        <w:t xml:space="preserve">6.5  SAM Pk Resolution</w:t>
      </w:r>
    </w:p>
    <w:p>
      <w:pPr>
        <w:spacing w:after="120" w:line="288"/>
      </w:pPr>
      <w:r>
        <w:rPr>
          <w:rFonts w:ascii="Arial" w:cs="Arial" w:eastAsia="Arial" w:hAnsi="Arial"/>
          <w:color w:val="1F2937"/>
          <w:sz w:val="22"/>
          <w:szCs w:val="22"/>
        </w:rPr>
        <w:t xml:space="preserve">lib/defeat/resolve-sam-pk.ts is the unified SAM Pk resolver. resolveSamKineticPct() applies the reference-geometry intercept model from sam-matrix-bridge.ts for SAM systems (kineticPctFromSam), and passes through DB kinetic_pct unchanged for non-SAM systems. This ensures the heatmap, CSV export, adjudication panel, defeat-check API, and PCM engine all show the same number for any SAM × platform pairing.</w:t>
      </w:r>
    </w:p>
    <w:p>
      <w:pPr>
        <w:spacing w:after="80"/>
      </w:pPr>
      <w:r>
        <w:rPr>
          <w:rFonts w:ascii="Arial" w:cs="Arial" w:eastAsia="Arial" w:hAnsi="Arial"/>
          <w:color w:val="1F2937"/>
          <w:sz w:val="22"/>
          <w:szCs w:val="22"/>
        </w:rPr>
        <w:t xml:space="preserve"/>
      </w:r>
    </w:p>
    <w:p>
      <w:pPr>
        <w:pBdr>
          <w:left w:val="single" w:color="16A34A" w:sz="12" w:space="6"/>
        </w:pBdr>
        <w:spacing w:after="120" w:before="120"/>
        <w:ind w:left="360"/>
      </w:pPr>
      <w:r>
        <w:rPr>
          <w:rFonts w:ascii="Arial" w:cs="Arial" w:eastAsia="Arial" w:hAnsi="Arial"/>
          <w:b/>
          <w:bCs/>
          <w:color w:val="16A34A"/>
          <w:sz w:val="22"/>
          <w:szCs w:val="22"/>
        </w:rPr>
        <w:t xml:space="preserve">STRENGTH: Single SAM Pk resolver means UI (defeat matrix heatmap), API (/api/defeat-check), and PCM adjudication all produce identical values. No divergence possible between training data and displayed values.</w:t>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7 · Billing / Stripe</w:t>
      </w:r>
    </w:p>
    <w:p>
      <w:pPr>
        <w:spacing w:after="120" w:line="288"/>
      </w:pPr>
      <w:r>
        <w:rPr>
          <w:rFonts w:ascii="Arial" w:cs="Arial" w:eastAsia="Arial" w:hAnsi="Arial"/>
          <w:color w:val="1F2937"/>
          <w:sz w:val="22"/>
          <w:szCs w:val="22"/>
        </w:rPr>
        <w:t xml:space="preserve">SPECTRAL does not currently implement Stripe billing as part of its core application. It is a B2G (Business-to-Government) defence training platform sold under direct licence or contract. The SPECTRAL codebase contains no Stripe checkout flows, subscription management UI, or customer portal.</w:t>
      </w:r>
    </w:p>
    <w:p>
      <w:pPr>
        <w:spacing w:after="80"/>
      </w:pPr>
      <w:r>
        <w:rPr>
          <w:rFonts w:ascii="Arial" w:cs="Arial" w:eastAsia="Arial" w:hAnsi="Arial"/>
          <w:color w:val="1F2937"/>
          <w:sz w:val="22"/>
          <w:szCs w:val="22"/>
        </w:rPr>
        <w:t xml:space="preserve"/>
      </w:r>
    </w:p>
    <w:p>
      <w:pPr>
        <w:pBdr>
          <w:left w:val="single" w:color="DC2626" w:sz="12" w:space="6"/>
        </w:pBdr>
        <w:spacing w:after="120" w:before="120"/>
        <w:ind w:left="360"/>
      </w:pPr>
      <w:r>
        <w:rPr>
          <w:rFonts w:ascii="Arial" w:cs="Arial" w:eastAsia="Arial" w:hAnsi="Arial"/>
          <w:b/>
          <w:bCs/>
          <w:color w:val="DC2626"/>
          <w:sz w:val="22"/>
          <w:szCs w:val="22"/>
        </w:rPr>
        <w:t xml:space="preserve">FINDING (HIGH): /SPECTRAL/docs/route.ts and /SPECTRAL/docs/41-webhook-idempotency.spec.ts are Stripe webhook implementation files that belong to the A3DM project — not SPECTRAL. They reference A3DM-specific types (OnboardingSelection, AddonId, OneOffId, fulfillExamTokensFromStripe, mapStripeSubscriptionStatus, exam_tokens table, processed_stripe_events table). These files should be removed from the SPECTRAL repository to avoid confusion. They do not import from any SPECTRAL module and have no effect on the running application, but their presence in a defence-adjacent codebase is a compliance risk.</w:t>
      </w:r>
    </w:p>
    <w:p>
      <w:pPr>
        <w:spacing w:after="120" w:line="288"/>
      </w:pPr>
      <w:r>
        <w:rPr>
          <w:rFonts w:ascii="Arial" w:cs="Arial" w:eastAsia="Arial" w:hAnsi="Arial"/>
          <w:color w:val="1F2937"/>
          <w:sz w:val="22"/>
          <w:szCs w:val="22"/>
        </w:rPr>
        <w:t xml:space="preserve">If a future commercial training tier for SPECTRAL requires Stripe integration, the following pattern from A3DM is the recommended architecture:</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468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OUTPUT</w:t>
            </w:r>
          </w:p>
        </w:tc>
      </w:tr>
      <w:tr>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Checkout initiation (future)</w:t>
            </w:r>
          </w:p>
        </w:tc>
        <w:tc>
          <w:tcPr>
            <w:tcW w:type="dxa" w:w="468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Stripe Checkout Session → STRIPE_SECRET_KEY server-only
checkout.session.completed webhook → /api/webhooks/stripe-subscription
Stripe signature verification (stripe.webhooks.constructEvent)
Idempotency guard: processed_stripe_events table (event.id)</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Licence entitlement written to DB
Audit log entry created</w:t>
            </w:r>
          </w:p>
        </w:tc>
      </w:tr>
      <w:tr>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Recurring subscription (future)</w:t>
            </w:r>
          </w:p>
        </w:tc>
        <w:tc>
          <w:tcPr>
            <w:tcW w:type="dxa" w:w="468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customer.subscription.updated → webhook handler
MapStripeSubscriptionStatus → active / past_due / cancelled
Tenant entitlement updated</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pPr>
              <w:spacing w:after="0"/>
            </w:pPr>
            <w:r>
              <w:rPr>
                <w:rFonts w:ascii="Arial" w:cs="Arial" w:eastAsia="Arial" w:hAnsi="Arial"/>
                <w:color w:val="1F2937"/>
                <w:sz w:val="22"/>
                <w:szCs w:val="22"/>
              </w:rPr>
              <w:t xml:space="preserve">tenant_members.role or subscription_tier updated in Supabase</w:t>
            </w:r>
          </w:p>
        </w:tc>
      </w:tr>
    </w:tbl>
    <w:p>
      <w:pPr>
        <w:spacing w:after="80"/>
      </w:pPr>
      <w:r>
        <w:rPr>
          <w:rFonts w:ascii="Arial" w:cs="Arial" w:eastAsia="Arial" w:hAnsi="Arial"/>
          <w:color w:val="1F2937"/>
          <w:sz w:val="22"/>
          <w:szCs w:val="22"/>
        </w:rPr>
        <w:t xml:space="preserve"/>
      </w:r>
    </w:p>
    <w:p>
      <w:pPr>
        <w:pBdr>
          <w:left w:val="single" w:color="DC2626" w:sz="12" w:space="6"/>
        </w:pBdr>
        <w:spacing w:after="120" w:before="120"/>
        <w:ind w:left="360"/>
      </w:pPr>
      <w:r>
        <w:rPr>
          <w:rFonts w:ascii="Arial" w:cs="Arial" w:eastAsia="Arial" w:hAnsi="Arial"/>
          <w:b/>
          <w:bCs/>
          <w:color w:val="DC2626"/>
          <w:sz w:val="22"/>
          <w:szCs w:val="22"/>
        </w:rPr>
        <w:t xml:space="preserve">PRIORITY ACTION: Remove docs/route.ts and docs/41-webhook-idempotency.spec.ts from the SPECTRAL repository. These files are A3DM artefacts placed in the wrong project directory.</w:t>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8 · Consolidated Findings</w:t>
      </w:r>
    </w:p>
    <w:p>
      <w:pPr>
        <w:spacing w:after="120" w:line="288"/>
      </w:pPr>
      <w:r>
        <w:rPr>
          <w:rFonts w:ascii="Arial" w:cs="Arial" w:eastAsia="Arial" w:hAnsi="Arial"/>
          <w:color w:val="1F2937"/>
          <w:sz w:val="22"/>
          <w:szCs w:val="22"/>
        </w:rPr>
        <w:t xml:space="preserve">All architecture findings are summarised below. Risk ratings: HIGH = requires immediate action; MED = address this sprint; LOW = backlog; INFO = observation, no action required.</w:t>
      </w:r>
    </w:p>
    <w:p>
      <w:pPr>
        <w:spacing w:after="80"/>
      </w:pPr>
      <w:r>
        <w:rPr>
          <w:rFonts w:ascii="Arial" w:cs="Arial" w:eastAsia="Arial" w:hAnsi="Arial"/>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600"/>
        <w:gridCol w:w="3000"/>
        <w:gridCol w:w="2100"/>
        <w:gridCol w:w="2400"/>
      </w:tblGrid>
      <w:tr>
        <w:trPr>
          <w:tblHeader/>
        </w:trPr>
        <w:tc>
          <w:tcPr>
            <w:tcW w:type="dxa" w:w="54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44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Subsystem</w:t>
            </w:r>
          </w:p>
        </w:tc>
        <w:tc>
          <w:tcPr>
            <w:tcW w:type="dxa" w:w="6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0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21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Location</w:t>
            </w:r>
          </w:p>
        </w:tc>
        <w:tc>
          <w:tcPr>
            <w:tcW w:type="dxa" w:w="2400"/>
            <w:tcBorders>
              <w:top w:val="single" w:color="0B1E3A" w:sz="8"/>
              <w:left w:val="single" w:color="0B1E3A" w:sz="4"/>
              <w:bottom w:val="single" w:color="F97316" w:sz="8"/>
              <w:right w:val="single" w:color="0B1E3A" w:sz="4"/>
            </w:tcBorders>
            <w:shd w:fill="0B1E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F-01</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Compliance &amp; Gate</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DC2626" w:val="clear"/>
              </w:rPr>
              <w:t xml:space="preserve"> HIGH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NEXT_PUBLIC_DEMO_MODE is a client-accessible flag. If set true in a production deployment, all auth in middleware.ts is bypassed globally.</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middleware.ts
lib/demo.ts
.env.local</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Rename to SPECTRAL_DEMO_MODE (server-only). Add guard: isDemoMode() &amp;&amp; isOperationsEdition() → throw. Remove from .env.production.</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F-02</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Compliance &amp; Gate</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DC2626" w:val="clear"/>
              </w:rPr>
              <w:t xml:space="preserve"> HIGH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lib/supabase/server.ts createClient() auto-elevates to service role on isDemoMode(). RLS bypassed server-side when demo flag is on.</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lib/supabase/server.ts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Guard the elevation: isDemoMode() &amp;&amp; process.env.SPECTRAL_EDITION !== "operations". Consider removing auto-elevation entirely and making callers explicit.</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F-03</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Mission / WOPR</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DC2626" w:val="clear"/>
              </w:rPr>
              <w:t xml:space="preserve"> HIGH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WOPR store (lib/wopr/store.ts) uses globalThis memory Map. Serverless cold starts return empty Map — tick state and propagation cache are lost.</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lib/wopr/store.ts
lib/wopr/live-bus.ts</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Persist tick state columns to wopr_scenarios DB on every tick. Phase 2 fix tracked as task #83. Short-term: pin Vercel function to keep-warm or use Edge Runtime with Durable Objects.</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F-04</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Billing / Stripe</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DC2626" w:val="clear"/>
              </w:rPr>
              <w:t xml:space="preserve"> HIGH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docs/route.ts and docs/41-webhook-idempotency.spec.ts are A3DM Stripe files in the SPECTRAL repository. They reference A3DM types not present in SPECTRAL.</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docs/route.ts
docs/41-webhook-idempotency.spec.ts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Delete both files from SPECTRAL. They belong in A3DM project. No functional impact, but compliance risk in a defence-adjacent repository.</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F-05</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Compliance &amp; Gate</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RBAC role predicates (roleCanRunPropagation, roleCanImportPlatforms, roleCanManageWopr) exist but are not called from any API route. Role enforcement is gap between library and route layer.</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lib/operations/auth-config.ts
app/api/v1/platforms/import/route.ts
app/api/v1/propagation/</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Wire role check into import and propagation routes: const ctx = await requireTenantContext(req); if (!roleCanImportPlatforms(ctx.role)) return 403.</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F-06</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Compliance &amp; Gate</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Phase 1-D DS authorization (ds-route-auth.ts) not yet wired into 5 routes. DS player ID is accepted from request body without session binding.</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lib/moat/ds-route-auth.ts
app/api/spectral/players/[id]/competency
app/api/spectral/players/[id]/training-plan
app/api/spectral/exercises/[id]/debrief
app/api/spectral/aar</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Complete task #82: call authorizeDsRoute(supabase, authUserId, requestedDsId, targetPlayerId) at the top of each DS route before processing the request.</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F-07</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Compliance &amp; Gate</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No MFA enforcement in middleware. Supabase supports TOTP but the middleware only checks for a valid session, not MFA completeness.</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middleware.ts</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Add user.factors check: if MFA enrolled but not verified, redirect to /mfa-challenge. components/auth/MfaChallenge.tsx and MfaEnroll.tsx already exist — wire into middleware gate.</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F-08</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Data Layer</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lib/conflict/ and lib/conflicts/ are duplicate directories with near-identical types and query files. Causes import ambiguity and maintenance overhead.</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lib/conflict/
lib/conflicts/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Audit all imports. Consolidate into lib/conflicts/ (the fuller version). Remove lib/conflict/ directory and update all import paths.</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F-09</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Data Layer</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Two pending migrations (Iran missiles, allied cruise missiles) not yet applied. Allied migration has an order dependency on Iran migration.</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supabase/migrations/20260624120000_*.sql
supabase/migrations/20260624130000_*.sql</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Apply Iran migration first, then allied missiles: supabase db push OR Supabase MCP apply_migration in timestamp order.</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F-10</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Mission / PCM</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SPECTRAL_INTEROP_SIM=AFSIM path in spectralRefOrchestrator.ts calls adapter.pushAdversaryIntent() with catch silently swallowed. AFSIM adapter errors are invisible in training logs.</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lib/pcm/spectralRefOrchestrator.ts
lib/moat/interopLayer.ts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Log the caught error at warn level in training mode. In operations mode, surface AFSIM connection failures to the DS dashboard rather than silently failing.</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F-11</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AeroCopilot / AI</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BEDROCK_MODEL_ID defaults to an unverified model ID string. If the exact versioned model ID for Claude Sonnet 4.6 in ap-southeast-2 differs, all inference fails at runtime.</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lib/claude/bedrock.ts
.env.local</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Verify exact model ID in AWS Console → Bedrock → Model catalog → ap-southeast-2. Set BEDROCK_MODEL_ID in .env.local and Vercel environment variables before first inference call.</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F-12</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AeroCopilot / AI</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D97706" w:val="clear"/>
              </w:rPr>
              <w:t xml:space="preserve"> MED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@aws-sdk/client-bedrock-runtime not confirmed installed. @anthropic-ai/sdk may still be in package.json wasting bundle size.</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package.json</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Run: npm install @aws-sdk/client-bedrock-runtime. Then: npm uninstall @anthropic-ai/sdk (verify no remaining imports first with grep -r "@anthropic-ai/sdk" --include="*.ts").</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F-13</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Compliance &amp; Gate</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16A34A" w:val="clear"/>
              </w:rPr>
              <w:t xml:space="preserve"> LOW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writeAuditLog() is only called from WOPR routes. PCM exercise lifecycle (create, start, orders, turn), import operations, and platform updates have no audit trail.</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lib/operations/audit.ts
app/api/spectral/exercises/</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Extend audit coverage to: exercises/create, exercises/start, exercises/turn, v1/platforms/import, v1/defeat-effectiveness/import. Template: writeAuditLog({ ...ctx, action: "pcm.exercise.turn", resourceType: "exercise", resourceId: id }).</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F-14</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Mission / PCM</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16A34A" w:val="clear"/>
              </w:rPr>
              <w:t xml:space="preserve"> LOW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worldStateEngine.ts is instantiated as a module-level singleton. Under Vercel serverless the singleton is rebuilt on each cold start, which re-creates the service role client. Minor — but Supabase client pools are not shared across cold starts.</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lib/pcm/worldStateEngine.ts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Low priority. If PCM route latency is observed on cold starts, consider using a connection pooler (Supabase pgBouncer) or initialising the client lazily with a global guard similar to the Bedrock client pattern.</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F-15</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AeroCopilot / AI</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16A34A" w:val="clear"/>
              </w:rPr>
              <w:t xml:space="preserve"> LOW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No rate limiting on POST /api/aerocopilot. Bedrock usage is unbounded per user session.</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app/api/aerocopilot/route.ts</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Add edge rate limiting via Vercel middleware or an in-memory token bucket per user (5 req/min for training tier). Or enforce max daily inference budget via Bedrock quotas in AWS Console.</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F-16</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Data Layer</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16A34A" w:val="clear"/>
              </w:rPr>
              <w:t xml:space="preserve"> LOW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lib/propagation/ includes _test_propagation.ts with apparent test code that is not a vitest test file (no test() / describe() calls). It may be an ad-hoc manual validation script.</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lib/propagation/_test_propagation.ts</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Convert to a proper vitest test using describe/it/expect or move to scripts/ if it is a manual runner. Stale test code in lib/ creates maintenance confusion.</w:t>
            </w:r>
          </w:p>
        </w:tc>
      </w:tr>
      <w:tr>
        <w:tc>
          <w:tcPr>
            <w:tcW w:type="dxa" w:w="5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1F2937"/>
                <w:sz w:val="18"/>
                <w:szCs w:val="18"/>
              </w:rPr>
              <w:t xml:space="preserve">F-17</w:t>
            </w:r>
          </w:p>
        </w:tc>
        <w:tc>
          <w:tcPr>
            <w:tcW w:type="dxa" w:w="144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0B1E3A"/>
                <w:sz w:val="18"/>
                <w:szCs w:val="18"/>
              </w:rPr>
              <w:t xml:space="preserve">Mission / WOPR</w:t>
            </w:r>
          </w:p>
        </w:tc>
        <w:tc>
          <w:tcPr>
            <w:tcW w:type="dxa" w:w="6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b/>
                <w:bCs/>
                <w:color w:val="FFFFFF"/>
                <w:sz w:val="18"/>
                <w:szCs w:val="18"/>
                <w:shd w:fill="16A34A" w:val="clear"/>
              </w:rPr>
              <w:t xml:space="preserve"> LOW </w:t>
            </w:r>
          </w:p>
        </w:tc>
        <w:tc>
          <w:tcPr>
            <w:tcW w:type="dxa" w:w="30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color w:val="1F2937"/>
                <w:sz w:val="18"/>
                <w:szCs w:val="18"/>
              </w:rPr>
              <w:t xml:space="preserve">lib/wopr/live-bus.ts EventEmitter has no subscriber limit or cleanup mechanism. Under sustained WOPR usage, stale listeners accumulate across scenario streams.</w:t>
            </w:r>
          </w:p>
        </w:tc>
        <w:tc>
          <w:tcPr>
            <w:tcW w:type="dxa" w:w="21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lib/wopr/live-bus.ts</w:t>
            </w:r>
          </w:p>
        </w:tc>
        <w:tc>
          <w:tcPr>
            <w:tcW w:type="dxa" w:w="2400"/>
            <w:tcBorders>
              <w:top w:val="single" w:color="D0E8F4" w:sz="4"/>
              <w:left w:val="single" w:color="D0E8F4" w:sz="4"/>
              <w:bottom w:val="single" w:color="D0E8F4" w:sz="4"/>
              <w:right w:val="single" w:color="D0E8F4" w:sz="4"/>
            </w:tcBorders>
            <w:shd w:fill="EBF4FA" w:val="clear"/>
            <w:tcMar>
              <w:top w:type="dxa" w:w="80"/>
              <w:left w:type="dxa" w:w="120"/>
              <w:bottom w:type="dxa" w:w="80"/>
              <w:right w:type="dxa" w:w="120"/>
            </w:tcMar>
            <w:vAlign w:val="top"/>
          </w:tcPr>
          <w:p>
            <w:r>
              <w:rPr>
                <w:rFonts w:ascii="Arial" w:cs="Arial" w:eastAsia="Arial" w:hAnsi="Arial"/>
                <w:i/>
                <w:iCs/>
                <w:color w:val="1F2937"/>
                <w:sz w:val="18"/>
                <w:szCs w:val="18"/>
              </w:rPr>
              <w:t xml:space="preserve">Add setMaxListeners() override or clean up listeners on SSE disconnect. Implement scenario-level listener map with explicit cleanup in the stream route's AbortSignal handler.</w:t>
            </w:r>
          </w:p>
        </w:tc>
      </w:tr>
      <w:tr>
        <w:tc>
          <w:tcPr>
            <w:tcW w:type="dxa" w:w="5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1F2937"/>
                <w:sz w:val="18"/>
                <w:szCs w:val="18"/>
              </w:rPr>
              <w:t xml:space="preserve">F-18</w:t>
            </w:r>
          </w:p>
        </w:tc>
        <w:tc>
          <w:tcPr>
            <w:tcW w:type="dxa" w:w="144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0B1E3A"/>
                <w:sz w:val="18"/>
                <w:szCs w:val="18"/>
              </w:rPr>
              <w:t xml:space="preserve">Mission / PCM</w:t>
            </w:r>
          </w:p>
        </w:tc>
        <w:tc>
          <w:tcPr>
            <w:tcW w:type="dxa" w:w="6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b/>
                <w:bCs/>
                <w:color w:val="FFFFFF"/>
                <w:sz w:val="18"/>
                <w:szCs w:val="18"/>
                <w:shd w:fill="06B6D4" w:val="clear"/>
              </w:rPr>
              <w:t xml:space="preserve"> INFO </w:t>
            </w:r>
          </w:p>
        </w:tc>
        <w:tc>
          <w:tcPr>
            <w:tcW w:type="dxa" w:w="30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color w:val="1F2937"/>
                <w:sz w:val="18"/>
                <w:szCs w:val="18"/>
              </w:rPr>
              <w:t xml:space="preserve">SPECTRAL_PCM_STUB_ADJUDICATION=true stub core is documented but the env var is commented out in .env.local.example. New developers may not discover it exists.</w:t>
            </w:r>
          </w:p>
        </w:tc>
        <w:tc>
          <w:tcPr>
            <w:tcW w:type="dxa" w:w="21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Courier New" w:cs="Courier New" w:eastAsia="Courier New" w:hAnsi="Courier New"/>
                <w:color w:val="0B1E3A"/>
                <w:sz w:val="18"/>
                <w:szCs w:val="18"/>
              </w:rPr>
              <w:t xml:space="preserve">.env.local.example</w:t>
            </w:r>
          </w:p>
        </w:tc>
        <w:tc>
          <w:tcPr>
            <w:tcW w:type="dxa" w:w="2400"/>
            <w:tcBorders>
              <w:top w:val="single" w:color="D0E8F4" w:sz="4"/>
              <w:left w:val="single" w:color="D0E8F4" w:sz="4"/>
              <w:bottom w:val="single" w:color="D0E8F4" w:sz="4"/>
              <w:right w:val="single" w:color="D0E8F4" w:sz="4"/>
            </w:tcBorders>
            <w:shd w:fill="FFFFFF" w:val="clear"/>
            <w:tcMar>
              <w:top w:type="dxa" w:w="80"/>
              <w:left w:type="dxa" w:w="120"/>
              <w:bottom w:type="dxa" w:w="80"/>
              <w:right w:type="dxa" w:w="120"/>
            </w:tcMar>
            <w:vAlign w:val="top"/>
          </w:tcPr>
          <w:p>
            <w:r>
              <w:rPr>
                <w:rFonts w:ascii="Arial" w:cs="Arial" w:eastAsia="Arial" w:hAnsi="Arial"/>
                <w:i/>
                <w:iCs/>
                <w:color w:val="1F2937"/>
                <w:sz w:val="18"/>
                <w:szCs w:val="18"/>
              </w:rPr>
              <w:t xml:space="preserve">Uncomment with a comment explaining it disables combat resolution (useful for UI development without needing a full PCM setup). No code change required.</w:t>
            </w:r>
          </w:p>
        </w:tc>
      </w:tr>
    </w:tbl>
    <w:p>
      <w:r>
        <w:br w:type="page"/>
      </w:r>
    </w:p>
    <w:p>
      <w:pPr>
        <w:pStyle w:val="Heading1"/>
        <w:pBdr>
          <w:bottom w:val="single" w:color="F97316" w:sz="12"/>
        </w:pBdr>
        <w:spacing w:after="160" w:before="320"/>
      </w:pPr>
      <w:r>
        <w:rPr>
          <w:rFonts w:ascii="Arial" w:cs="Arial" w:eastAsia="Arial" w:hAnsi="Arial"/>
          <w:b/>
          <w:bCs/>
          <w:color w:val="0B1E3A"/>
          <w:sz w:val="32"/>
          <w:szCs w:val="32"/>
        </w:rPr>
        <w:t xml:space="preserve">9 · Remediation Priority Order</w:t>
      </w:r>
    </w:p>
    <w:p>
      <w:pPr>
        <w:spacing w:after="120" w:line="288"/>
      </w:pPr>
      <w:r>
        <w:rPr>
          <w:rFonts w:ascii="Arial" w:cs="Arial" w:eastAsia="Arial" w:hAnsi="Arial"/>
          <w:color w:val="1F2937"/>
          <w:sz w:val="22"/>
          <w:szCs w:val="22"/>
        </w:rPr>
        <w:t xml:space="preserve">Address findings in this order. HIGH items should be resolved before the next customer demo or external review.</w:t>
      </w:r>
    </w:p>
    <w:p>
      <w:pPr>
        <w:spacing w:after="80"/>
      </w:pPr>
      <w:r>
        <w:rPr>
          <w:rFonts w:ascii="Arial" w:cs="Arial" w:eastAsia="Arial" w:hAnsi="Arial"/>
          <w:color w:val="1F2937"/>
          <w:sz w:val="22"/>
          <w:szCs w:val="22"/>
        </w:rPr>
        <w:t xml:space="preserve"/>
      </w:r>
    </w:p>
    <w:p>
      <w:pPr>
        <w:pStyle w:val="Heading2"/>
        <w:spacing w:after="120" w:before="240"/>
      </w:pPr>
      <w:r>
        <w:rPr>
          <w:rFonts w:ascii="Arial" w:cs="Arial" w:eastAsia="Arial" w:hAnsi="Arial"/>
          <w:b/>
          <w:bCs/>
          <w:color w:val="0B1E3A"/>
          <w:sz w:val="26"/>
          <w:szCs w:val="26"/>
        </w:rPr>
        <w:t xml:space="preserve">Immediate (HIGH — before next demo)</w:t>
      </w:r>
    </w:p>
    <w:p>
      <w:pPr>
        <w:pStyle w:val="ListParagraph"/>
        <w:numPr>
          <w:ilvl w:val="0"/>
          <w:numId w:val="2"/>
        </w:numPr>
        <w:spacing w:after="80"/>
      </w:pPr>
      <w:r>
        <w:rPr>
          <w:rFonts w:ascii="Arial" w:cs="Arial" w:eastAsia="Arial" w:hAnsi="Arial"/>
          <w:color w:val="1F2937"/>
          <w:sz w:val="22"/>
          <w:szCs w:val="22"/>
        </w:rPr>
        <w:t xml:space="preserve">F-04: Remove docs/route.ts and docs/41-webhook-idempotency.spec.ts — 2 minutes, no tests needed.</w:t>
      </w:r>
    </w:p>
    <w:p>
      <w:pPr>
        <w:pStyle w:val="ListParagraph"/>
        <w:numPr>
          <w:ilvl w:val="0"/>
          <w:numId w:val="2"/>
        </w:numPr>
        <w:spacing w:after="80"/>
      </w:pPr>
      <w:r>
        <w:rPr>
          <w:rFonts w:ascii="Arial" w:cs="Arial" w:eastAsia="Arial" w:hAnsi="Arial"/>
          <w:color w:val="1F2937"/>
          <w:sz w:val="22"/>
          <w:szCs w:val="22"/>
        </w:rPr>
        <w:t xml:space="preserve">F-01: Guard NEXT_PUBLIC_DEMO_MODE — rename to server-only or add edition gate. 30 minute change.</w:t>
      </w:r>
    </w:p>
    <w:p>
      <w:pPr>
        <w:pStyle w:val="ListParagraph"/>
        <w:numPr>
          <w:ilvl w:val="0"/>
          <w:numId w:val="2"/>
        </w:numPr>
        <w:spacing w:after="80"/>
      </w:pPr>
      <w:r>
        <w:rPr>
          <w:rFonts w:ascii="Arial" w:cs="Arial" w:eastAsia="Arial" w:hAnsi="Arial"/>
          <w:color w:val="1F2937"/>
          <w:sz w:val="22"/>
          <w:szCs w:val="22"/>
        </w:rPr>
        <w:t xml:space="preserve">F-02: Guard createClient() auto-elevation — add edition check before service role bypass.</w:t>
      </w:r>
    </w:p>
    <w:p>
      <w:pPr>
        <w:pStyle w:val="ListParagraph"/>
        <w:numPr>
          <w:ilvl w:val="0"/>
          <w:numId w:val="2"/>
        </w:numPr>
        <w:spacing w:after="80"/>
      </w:pPr>
      <w:r>
        <w:rPr>
          <w:rFonts w:ascii="Arial" w:cs="Arial" w:eastAsia="Arial" w:hAnsi="Arial"/>
          <w:color w:val="1F2937"/>
          <w:sz w:val="22"/>
          <w:szCs w:val="22"/>
        </w:rPr>
        <w:t xml:space="preserve">F-11: Verify BEDROCK_MODEL_ID in AWS Console and set in env. No code change, config only.</w:t>
      </w:r>
    </w:p>
    <w:p>
      <w:pPr>
        <w:pStyle w:val="ListParagraph"/>
        <w:numPr>
          <w:ilvl w:val="0"/>
          <w:numId w:val="2"/>
        </w:numPr>
        <w:spacing w:after="80"/>
      </w:pPr>
      <w:r>
        <w:rPr>
          <w:rFonts w:ascii="Arial" w:cs="Arial" w:eastAsia="Arial" w:hAnsi="Arial"/>
          <w:color w:val="1F2937"/>
          <w:sz w:val="22"/>
          <w:szCs w:val="22"/>
        </w:rPr>
        <w:t xml:space="preserve">F-12: npm install @aws-sdk/client-bedrock-runtime; verify @anthropic-ai/sdk not imported anywhere active.</w:t>
      </w:r>
    </w:p>
    <w:p>
      <w:pPr>
        <w:pStyle w:val="ListParagraph"/>
        <w:numPr>
          <w:ilvl w:val="0"/>
          <w:numId w:val="2"/>
        </w:numPr>
        <w:spacing w:after="80"/>
      </w:pPr>
      <w:r>
        <w:rPr>
          <w:rFonts w:ascii="Arial" w:cs="Arial" w:eastAsia="Arial" w:hAnsi="Arial"/>
          <w:color w:val="1F2937"/>
          <w:sz w:val="22"/>
          <w:szCs w:val="22"/>
        </w:rPr>
        <w:t xml:space="preserve">F-03: Begin Phase 2 (task #83) — persist WOPR tick state to DB on every tick.</w:t>
      </w:r>
    </w:p>
    <w:p>
      <w:pPr>
        <w:spacing w:after="80"/>
      </w:pPr>
      <w:r>
        <w:rPr>
          <w:rFonts w:ascii="Arial" w:cs="Arial" w:eastAsia="Arial" w:hAnsi="Arial"/>
          <w:color w:val="1F2937"/>
          <w:sz w:val="22"/>
          <w:szCs w:val="22"/>
        </w:rPr>
        <w:t xml:space="preserve"/>
      </w:r>
    </w:p>
    <w:p>
      <w:pPr>
        <w:pStyle w:val="Heading2"/>
        <w:spacing w:after="120" w:before="240"/>
      </w:pPr>
      <w:r>
        <w:rPr>
          <w:rFonts w:ascii="Arial" w:cs="Arial" w:eastAsia="Arial" w:hAnsi="Arial"/>
          <w:b/>
          <w:bCs/>
          <w:color w:val="0B1E3A"/>
          <w:sz w:val="26"/>
          <w:szCs w:val="26"/>
        </w:rPr>
        <w:t xml:space="preserve">This Sprint (MED)</w:t>
      </w:r>
    </w:p>
    <w:p>
      <w:pPr>
        <w:pStyle w:val="ListParagraph"/>
        <w:numPr>
          <w:ilvl w:val="0"/>
          <w:numId w:val="2"/>
        </w:numPr>
        <w:spacing w:after="80"/>
      </w:pPr>
      <w:r>
        <w:rPr>
          <w:rFonts w:ascii="Arial" w:cs="Arial" w:eastAsia="Arial" w:hAnsi="Arial"/>
          <w:color w:val="1F2937"/>
          <w:sz w:val="22"/>
          <w:szCs w:val="22"/>
        </w:rPr>
        <w:t xml:space="preserve">F-06: Complete Phase 1-D — wire authorizeDsRoute() into 5 DS routes (task #82, in progress).</w:t>
      </w:r>
    </w:p>
    <w:p>
      <w:pPr>
        <w:pStyle w:val="ListParagraph"/>
        <w:numPr>
          <w:ilvl w:val="0"/>
          <w:numId w:val="2"/>
        </w:numPr>
        <w:spacing w:after="80"/>
      </w:pPr>
      <w:r>
        <w:rPr>
          <w:rFonts w:ascii="Arial" w:cs="Arial" w:eastAsia="Arial" w:hAnsi="Arial"/>
          <w:color w:val="1F2937"/>
          <w:sz w:val="22"/>
          <w:szCs w:val="22"/>
        </w:rPr>
        <w:t xml:space="preserve">F-05: Wire RBAC role predicates into import/propagation routes.</w:t>
      </w:r>
    </w:p>
    <w:p>
      <w:pPr>
        <w:pStyle w:val="ListParagraph"/>
        <w:numPr>
          <w:ilvl w:val="0"/>
          <w:numId w:val="2"/>
        </w:numPr>
        <w:spacing w:after="80"/>
      </w:pPr>
      <w:r>
        <w:rPr>
          <w:rFonts w:ascii="Arial" w:cs="Arial" w:eastAsia="Arial" w:hAnsi="Arial"/>
          <w:color w:val="1F2937"/>
          <w:sz w:val="22"/>
          <w:szCs w:val="22"/>
        </w:rPr>
        <w:t xml:space="preserve">F-07: Wire MFA check into middleware (MfaChallenge component already built).</w:t>
      </w:r>
    </w:p>
    <w:p>
      <w:pPr>
        <w:pStyle w:val="ListParagraph"/>
        <w:numPr>
          <w:ilvl w:val="0"/>
          <w:numId w:val="2"/>
        </w:numPr>
        <w:spacing w:after="80"/>
      </w:pPr>
      <w:r>
        <w:rPr>
          <w:rFonts w:ascii="Arial" w:cs="Arial" w:eastAsia="Arial" w:hAnsi="Arial"/>
          <w:color w:val="1F2937"/>
          <w:sz w:val="22"/>
          <w:szCs w:val="22"/>
        </w:rPr>
        <w:t xml:space="preserve">F-08: Consolidate lib/conflict/ + lib/conflicts/ into single directory.</w:t>
      </w:r>
    </w:p>
    <w:p>
      <w:pPr>
        <w:pStyle w:val="ListParagraph"/>
        <w:numPr>
          <w:ilvl w:val="0"/>
          <w:numId w:val="2"/>
        </w:numPr>
        <w:spacing w:after="80"/>
      </w:pPr>
      <w:r>
        <w:rPr>
          <w:rFonts w:ascii="Arial" w:cs="Arial" w:eastAsia="Arial" w:hAnsi="Arial"/>
          <w:color w:val="1F2937"/>
          <w:sz w:val="22"/>
          <w:szCs w:val="22"/>
        </w:rPr>
        <w:t xml:space="preserve">F-09: Apply pending Iran + allied cruise missile migrations (in order).</w:t>
      </w:r>
    </w:p>
    <w:p>
      <w:pPr>
        <w:pStyle w:val="ListParagraph"/>
        <w:numPr>
          <w:ilvl w:val="0"/>
          <w:numId w:val="2"/>
        </w:numPr>
        <w:spacing w:after="80"/>
      </w:pPr>
      <w:r>
        <w:rPr>
          <w:rFonts w:ascii="Arial" w:cs="Arial" w:eastAsia="Arial" w:hAnsi="Arial"/>
          <w:color w:val="1F2937"/>
          <w:sz w:val="22"/>
          <w:szCs w:val="22"/>
        </w:rPr>
        <w:t xml:space="preserve">F-10: Add warn-level logging for AFSIM interop failures.</w:t>
      </w:r>
    </w:p>
    <w:p>
      <w:pPr>
        <w:spacing w:after="80"/>
      </w:pPr>
      <w:r>
        <w:rPr>
          <w:rFonts w:ascii="Arial" w:cs="Arial" w:eastAsia="Arial" w:hAnsi="Arial"/>
          <w:color w:val="1F2937"/>
          <w:sz w:val="22"/>
          <w:szCs w:val="22"/>
        </w:rPr>
        <w:t xml:space="preserve"/>
      </w:r>
    </w:p>
    <w:p>
      <w:pPr>
        <w:pStyle w:val="Heading2"/>
        <w:spacing w:after="120" w:before="240"/>
      </w:pPr>
      <w:r>
        <w:rPr>
          <w:rFonts w:ascii="Arial" w:cs="Arial" w:eastAsia="Arial" w:hAnsi="Arial"/>
          <w:b/>
          <w:bCs/>
          <w:color w:val="0B1E3A"/>
          <w:sz w:val="26"/>
          <w:szCs w:val="26"/>
        </w:rPr>
        <w:t xml:space="preserve">Backlog (LOW / INFO)</w:t>
      </w:r>
    </w:p>
    <w:p>
      <w:pPr>
        <w:pStyle w:val="ListParagraph"/>
        <w:numPr>
          <w:ilvl w:val="0"/>
          <w:numId w:val="2"/>
        </w:numPr>
        <w:spacing w:after="80"/>
      </w:pPr>
      <w:r>
        <w:rPr>
          <w:rFonts w:ascii="Arial" w:cs="Arial" w:eastAsia="Arial" w:hAnsi="Arial"/>
          <w:color w:val="1F2937"/>
          <w:sz w:val="22"/>
          <w:szCs w:val="22"/>
        </w:rPr>
        <w:t xml:space="preserve">F-13: Extend audit log to PCM exercise lifecycle.</w:t>
      </w:r>
    </w:p>
    <w:p>
      <w:pPr>
        <w:pStyle w:val="ListParagraph"/>
        <w:numPr>
          <w:ilvl w:val="0"/>
          <w:numId w:val="2"/>
        </w:numPr>
        <w:spacing w:after="80"/>
      </w:pPr>
      <w:r>
        <w:rPr>
          <w:rFonts w:ascii="Arial" w:cs="Arial" w:eastAsia="Arial" w:hAnsi="Arial"/>
          <w:color w:val="1F2937"/>
          <w:sz w:val="22"/>
          <w:szCs w:val="22"/>
        </w:rPr>
        <w:t xml:space="preserve">F-14: Monitor cold-start latency; add connection pooler if needed.</w:t>
      </w:r>
    </w:p>
    <w:p>
      <w:pPr>
        <w:pStyle w:val="ListParagraph"/>
        <w:numPr>
          <w:ilvl w:val="0"/>
          <w:numId w:val="2"/>
        </w:numPr>
        <w:spacing w:after="80"/>
      </w:pPr>
      <w:r>
        <w:rPr>
          <w:rFonts w:ascii="Arial" w:cs="Arial" w:eastAsia="Arial" w:hAnsi="Arial"/>
          <w:color w:val="1F2937"/>
          <w:sz w:val="22"/>
          <w:szCs w:val="22"/>
        </w:rPr>
        <w:t xml:space="preserve">F-15: Rate limit AeroCopilot POST.</w:t>
      </w:r>
    </w:p>
    <w:p>
      <w:pPr>
        <w:pStyle w:val="ListParagraph"/>
        <w:numPr>
          <w:ilvl w:val="0"/>
          <w:numId w:val="2"/>
        </w:numPr>
        <w:spacing w:after="80"/>
      </w:pPr>
      <w:r>
        <w:rPr>
          <w:rFonts w:ascii="Arial" w:cs="Arial" w:eastAsia="Arial" w:hAnsi="Arial"/>
          <w:color w:val="1F2937"/>
          <w:sz w:val="22"/>
          <w:szCs w:val="22"/>
        </w:rPr>
        <w:t xml:space="preserve">F-16: Convert _test_propagation.ts to proper vitest test.</w:t>
      </w:r>
    </w:p>
    <w:p>
      <w:pPr>
        <w:pStyle w:val="ListParagraph"/>
        <w:numPr>
          <w:ilvl w:val="0"/>
          <w:numId w:val="2"/>
        </w:numPr>
        <w:spacing w:after="80"/>
      </w:pPr>
      <w:r>
        <w:rPr>
          <w:rFonts w:ascii="Arial" w:cs="Arial" w:eastAsia="Arial" w:hAnsi="Arial"/>
          <w:color w:val="1F2937"/>
          <w:sz w:val="22"/>
          <w:szCs w:val="22"/>
        </w:rPr>
        <w:t xml:space="preserve">F-17: Add SSE listener cleanup to live-bus.ts.</w:t>
      </w:r>
    </w:p>
    <w:p>
      <w:pPr>
        <w:pStyle w:val="ListParagraph"/>
        <w:numPr>
          <w:ilvl w:val="0"/>
          <w:numId w:val="2"/>
        </w:numPr>
        <w:spacing w:after="80"/>
      </w:pPr>
      <w:r>
        <w:rPr>
          <w:rFonts w:ascii="Arial" w:cs="Arial" w:eastAsia="Arial" w:hAnsi="Arial"/>
          <w:color w:val="1F2937"/>
          <w:sz w:val="22"/>
          <w:szCs w:val="22"/>
        </w:rPr>
        <w:t xml:space="preserve">F-18: Uncomment SPECTRAL_PCM_STUB_ADJUDICATION in .env.local.example.</w:t>
      </w:r>
    </w:p>
    <w:p>
      <w:pPr>
        <w:spacing w:after="80"/>
      </w:pPr>
      <w:r>
        <w:rPr>
          <w:rFonts w:ascii="Arial" w:cs="Arial" w:eastAsia="Arial" w:hAnsi="Arial"/>
          <w:color w:val="1F2937"/>
          <w:sz w:val="22"/>
          <w:szCs w:val="22"/>
        </w:rPr>
        <w:t xml:space="preserve"/>
      </w:r>
    </w:p>
    <w:p>
      <w:r>
        <w:br w:type="page"/>
      </w:r>
    </w:p>
    <w:p>
      <w:pPr>
        <w:pStyle w:val="Heading1"/>
        <w:pBdr>
          <w:bottom w:val="single" w:color="F97316" w:sz="12"/>
        </w:pBdr>
        <w:spacing w:after="160" w:before="320"/>
      </w:pPr>
      <w:r>
        <w:rPr>
          <w:rFonts w:ascii="Arial" w:cs="Arial" w:eastAsia="Arial" w:hAnsi="Arial"/>
          <w:b/>
          <w:bCs/>
          <w:color w:val="0B1E3A"/>
          <w:sz w:val="32"/>
          <w:szCs w:val="32"/>
        </w:rPr>
        <w:t xml:space="preserve">10 · Architecture Strengths</w:t>
      </w:r>
    </w:p>
    <w:p>
      <w:pPr>
        <w:spacing w:after="120" w:line="288"/>
      </w:pPr>
      <w:r>
        <w:rPr>
          <w:rFonts w:ascii="Arial" w:cs="Arial" w:eastAsia="Arial" w:hAnsi="Arial"/>
          <w:color w:val="1F2937"/>
          <w:sz w:val="22"/>
          <w:szCs w:val="22"/>
        </w:rPr>
        <w:t xml:space="preserve">The following patterns are working well and should be preserved as the codebase scales.</w:t>
      </w:r>
    </w:p>
    <w:p>
      <w:pPr>
        <w:spacing w:after="80"/>
      </w:pPr>
      <w:r>
        <w:rPr>
          <w:rFonts w:ascii="Arial" w:cs="Arial" w:eastAsia="Arial" w:hAnsi="Arial"/>
          <w:color w:val="1F2937"/>
          <w:sz w:val="22"/>
          <w:szCs w:val="22"/>
        </w:rPr>
        <w:t xml:space="preserve"/>
      </w:r>
    </w:p>
    <w:p>
      <w:pPr>
        <w:pStyle w:val="ListParagraph"/>
        <w:numPr>
          <w:ilvl w:val="0"/>
          <w:numId w:val="3"/>
        </w:numPr>
        <w:spacing w:after="80"/>
      </w:pPr>
      <w:r>
        <w:rPr>
          <w:rFonts w:ascii="Arial" w:cs="Arial" w:eastAsia="Arial" w:hAnsi="Arial"/>
          <w:color w:val="1F2937"/>
          <w:sz w:val="22"/>
          <w:szCs w:val="22"/>
        </w:rPr>
        <w:t xml:space="preserve">Single Bedrock client singleton (lib/claude/bedrock.ts) — all AI inference routes through one file. No scattered SDK instantiations.</w:t>
      </w:r>
    </w:p>
    <w:p>
      <w:pPr>
        <w:pStyle w:val="ListParagraph"/>
        <w:numPr>
          <w:ilvl w:val="0"/>
          <w:numId w:val="3"/>
        </w:numPr>
        <w:spacing w:after="80"/>
      </w:pPr>
      <w:r>
        <w:rPr>
          <w:rFonts w:ascii="Arial" w:cs="Arial" w:eastAsia="Arial" w:hAnsi="Arial"/>
          <w:color w:val="1F2937"/>
          <w:sz w:val="22"/>
          <w:szCs w:val="22"/>
        </w:rPr>
        <w:t xml:space="preserve">REF narrative parse fault-tolerance — parseRefRaw() never crashes the PCM engine on LLM format violations. Safe fallback ds_briefing is always returned.</w:t>
      </w:r>
    </w:p>
    <w:p>
      <w:pPr>
        <w:pStyle w:val="ListParagraph"/>
        <w:numPr>
          <w:ilvl w:val="0"/>
          <w:numId w:val="3"/>
        </w:numPr>
        <w:spacing w:after="80"/>
      </w:pPr>
      <w:r>
        <w:rPr>
          <w:rFonts w:ascii="Arial" w:cs="Arial" w:eastAsia="Arial" w:hAnsi="Arial"/>
          <w:color w:val="1F2937"/>
          <w:sz w:val="22"/>
          <w:szCs w:val="22"/>
        </w:rPr>
        <w:t xml:space="preserve">Accredited data isolation — AccreditedDataLayer never appears in lib/moat/ imports or client context. Structurally enforced by TypeScript interface design.</w:t>
      </w:r>
    </w:p>
    <w:p>
      <w:pPr>
        <w:pStyle w:val="ListParagraph"/>
        <w:numPr>
          <w:ilvl w:val="0"/>
          <w:numId w:val="3"/>
        </w:numPr>
        <w:spacing w:after="80"/>
      </w:pPr>
      <w:r>
        <w:rPr>
          <w:rFonts w:ascii="Arial" w:cs="Arial" w:eastAsia="Arial" w:hAnsi="Arial"/>
          <w:color w:val="1F2937"/>
          <w:sz w:val="22"/>
          <w:szCs w:val="22"/>
        </w:rPr>
        <w:t xml:space="preserve">GNSS–PCM firewall — gnss-adjudication-bridge.ts is the sole connection between the GNSS and PCM subsystems. Pure functions only, no Supabase I/O in the bridge.</w:t>
      </w:r>
    </w:p>
    <w:p>
      <w:pPr>
        <w:pStyle w:val="ListParagraph"/>
        <w:numPr>
          <w:ilvl w:val="0"/>
          <w:numId w:val="3"/>
        </w:numPr>
        <w:spacing w:after="80"/>
      </w:pPr>
      <w:r>
        <w:rPr>
          <w:rFonts w:ascii="Arial" w:cs="Arial" w:eastAsia="Arial" w:hAnsi="Arial"/>
          <w:color w:val="1F2937"/>
          <w:sz w:val="22"/>
          <w:szCs w:val="22"/>
        </w:rPr>
        <w:t xml:space="preserve">DB-first / offline-fallback for accredited supplements — works in air-gapped / network-degraded environments without code changes. Critical for defence deployments.</w:t>
      </w:r>
    </w:p>
    <w:p>
      <w:pPr>
        <w:pStyle w:val="ListParagraph"/>
        <w:numPr>
          <w:ilvl w:val="0"/>
          <w:numId w:val="3"/>
        </w:numPr>
        <w:spacing w:after="80"/>
      </w:pPr>
      <w:r>
        <w:rPr>
          <w:rFonts w:ascii="Arial" w:cs="Arial" w:eastAsia="Arial" w:hAnsi="Arial"/>
          <w:color w:val="1F2937"/>
          <w:sz w:val="22"/>
          <w:szCs w:val="22"/>
        </w:rPr>
        <w:t xml:space="preserve">Unified SAM Pk resolver (resolve-sam-pk.ts) — heatmap, CSV, API, and PCM adjudication all read the same value. Zero divergence risk.</w:t>
      </w:r>
    </w:p>
    <w:p>
      <w:pPr>
        <w:pStyle w:val="ListParagraph"/>
        <w:numPr>
          <w:ilvl w:val="0"/>
          <w:numId w:val="3"/>
        </w:numPr>
        <w:spacing w:after="80"/>
      </w:pPr>
      <w:r>
        <w:rPr>
          <w:rFonts w:ascii="Arial" w:cs="Arial" w:eastAsia="Arial" w:hAnsi="Arial"/>
          <w:color w:val="1F2937"/>
          <w:sz w:val="22"/>
          <w:szCs w:val="22"/>
        </w:rPr>
        <w:t xml:space="preserve">Tiered Supabase clients — browser (anon), server (cookie), service-role-node (Node WebSocket). Clear separation; service role never leaked to client code.</w:t>
      </w:r>
    </w:p>
    <w:p>
      <w:pPr>
        <w:pStyle w:val="ListParagraph"/>
        <w:numPr>
          <w:ilvl w:val="0"/>
          <w:numId w:val="3"/>
        </w:numPr>
        <w:spacing w:after="80"/>
      </w:pPr>
      <w:r>
        <w:rPr>
          <w:rFonts w:ascii="Arial" w:cs="Arial" w:eastAsia="Arial" w:hAnsi="Arial"/>
          <w:color w:val="1F2937"/>
          <w:sz w:val="22"/>
          <w:szCs w:val="22"/>
        </w:rPr>
        <w:t xml:space="preserve">AdjudicationCore interface — all three cores (training, operational, placeholder) are interchangeable behind a single resolveTurn() signature. Edition switching requires no WSE changes.</w:t>
      </w:r>
    </w:p>
    <w:p>
      <w:pPr>
        <w:pStyle w:val="ListParagraph"/>
        <w:numPr>
          <w:ilvl w:val="0"/>
          <w:numId w:val="3"/>
        </w:numPr>
        <w:spacing w:after="80"/>
      </w:pPr>
      <w:r>
        <w:rPr>
          <w:rFonts w:ascii="Arial" w:cs="Arial" w:eastAsia="Arial" w:hAnsi="Arial"/>
          <w:color w:val="1F2937"/>
          <w:sz w:val="22"/>
          <w:szCs w:val="22"/>
        </w:rPr>
        <w:t xml:space="preserve">@supabase/ssr pattern — createServerClient() with cookie forwarding in middleware ensures session propagation is standard and compatible with Next.js 14 App Router.</w:t>
      </w:r>
    </w:p>
    <w:p>
      <w:pPr>
        <w:pStyle w:val="ListParagraph"/>
        <w:numPr>
          <w:ilvl w:val="0"/>
          <w:numId w:val="3"/>
        </w:numPr>
        <w:spacing w:after="80"/>
      </w:pPr>
      <w:r>
        <w:rPr>
          <w:rFonts w:ascii="Arial" w:cs="Arial" w:eastAsia="Arial" w:hAnsi="Arial"/>
          <w:color w:val="1F2937"/>
          <w:sz w:val="22"/>
          <w:szCs w:val="22"/>
        </w:rPr>
        <w:t xml:space="preserve">Seeded RNG for PCM adjudication (seeded-rng.ts) — deterministic adjudication for the same seed. AAR replay and test reproducibility built in.</w:t>
      </w:r>
    </w:p>
    <w:p>
      <w:pPr>
        <w:spacing w:after="80"/>
      </w:pPr>
      <w:r>
        <w:rPr>
          <w:rFonts w:ascii="Arial" w:cs="Arial" w:eastAsia="Arial" w:hAnsi="Arial"/>
          <w:color w:val="1F2937"/>
          <w:sz w:val="22"/>
          <w:szCs w:val="22"/>
        </w:rPr>
        <w:t xml:space="preserve"/>
      </w:r>
    </w:p>
    <w:p>
      <w:pPr>
        <w:spacing w:after="80"/>
      </w:pPr>
      <w:r>
        <w:rPr>
          <w:rFonts w:ascii="Arial" w:cs="Arial" w:eastAsia="Arial" w:hAnsi="Arial"/>
          <w:color w:val="1F2937"/>
          <w:sz w:val="22"/>
          <w:szCs w:val="22"/>
        </w:rPr>
        <w:t xml:space="preserve"/>
      </w:r>
    </w:p>
    <w:p>
      <w:pPr>
        <w:pBdr>
          <w:top w:val="single" w:color="0B1E3A" w:sz="8"/>
        </w:pBdr>
        <w:spacing w:before="240"/>
        <w:jc w:val="center"/>
      </w:pPr>
      <w:r>
        <w:rPr>
          <w:rFonts w:ascii="Arial" w:cs="Arial" w:eastAsia="Arial" w:hAnsi="Arial"/>
          <w:color w:val="6B7280"/>
          <w:sz w:val="18"/>
          <w:szCs w:val="18"/>
        </w:rPr>
        <w:t xml:space="preserve">UNCLASSIFIED // FOR OFFICIAL TRAINING USE ONLY  ·  SPECTRAL Architecture Code Review  ·  30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8F4" w:sz="4"/>
      </w:pBdr>
      <w:spacing w:before="8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8"/>
      </w:pBdr>
      <w:tabs>
        <w:tab w:val="right" w:pos="10080"/>
      </w:tabs>
      <w:spacing w:after="80"/>
    </w:pPr>
    <w:r>
      <w:rPr>
        <w:rFonts w:ascii="Arial" w:cs="Arial" w:eastAsia="Arial" w:hAnsi="Arial"/>
        <w:b/>
        <w:bCs/>
        <w:color w:val="0B1E3A"/>
        <w:sz w:val="18"/>
        <w:szCs w:val="18"/>
      </w:rPr>
      <w:t xml:space="preserve">SPECTRAL ARCHITECTURE REVIEW</w:t>
    </w:r>
    <w:r>
      <w:rPr>
        <w:rFonts w:ascii="Arial" w:cs="Arial" w:eastAsia="Arial" w:hAnsi="Arial"/>
        <w:color w:val="6B7280"/>
        <w:sz w:val="18"/>
        <w:szCs w:val="18"/>
      </w:rPr>
      <w:t xml:space="preserve">		UNCLASSIFIED // FOR OFFICIAL TRAINING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F97316"/>
      </w:rPr>
    </w:lvl>
    <w:lvl w:ilvl="1" w15:tentative="1">
      <w:start w:val="1"/>
      <w:numFmt w:val="bullet"/>
      <w:lvlText w:val="◦"/>
      <w:lvlJc w:val="left"/>
      <w:pPr>
        <w:ind w:left="900" w:hanging="260"/>
      </w:pPr>
      <w:rPr>
        <w:color w:val="6B7280"/>
      </w:r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E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1E3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6B6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2026-06-30T15:39:51.770Z</dcterms:created>
  <dcterms:modified xsi:type="dcterms:W3CDTF">2026-06-30T15:39:51.770Z</dcterms:modified>
</cp:coreProperties>
</file>

<file path=docProps/custom.xml><?xml version="1.0" encoding="utf-8"?>
<Properties xmlns="http://schemas.openxmlformats.org/officeDocument/2006/custom-properties" xmlns:vt="http://schemas.openxmlformats.org/officeDocument/2006/docPropsVTypes"/>
</file>