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jc w:val="center"/>
      </w:pPr>
    </w:p>
    <w:p>
      <w:pPr>
        <w:pStyle w:val="Body A"/>
        <w:widowControl w:val="0"/>
        <w:jc w:val="center"/>
        <w:rPr>
          <w:rFonts w:ascii="Cambria" w:cs="Cambria" w:hAnsi="Cambria" w:eastAsia="Cambria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DENE L. FARRELL</w:t>
      </w:r>
    </w:p>
    <w:p>
      <w:pPr>
        <w:pStyle w:val="Body A"/>
        <w:widowControl w:val="0"/>
        <w:jc w:val="center"/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New York, NY - 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[914] 602 3847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"mailto:dene.farrell@gmail.com"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dene.farrell@gmail.com</w:t>
      </w:r>
      <w:r>
        <w:rPr/>
        <w:fldChar w:fldCharType="end" w:fldLock="0"/>
      </w:r>
    </w:p>
    <w:p>
      <w:pPr>
        <w:pStyle w:val="Body A"/>
        <w:widowControl w:val="0"/>
        <w:jc w:val="center"/>
        <w:rPr>
          <w:rStyle w:val="None"/>
          <w:rFonts w:ascii="Cambria" w:cs="Cambria" w:hAnsi="Cambria" w:eastAsia="Cambria"/>
          <w:sz w:val="22"/>
          <w:szCs w:val="22"/>
        </w:rPr>
      </w:pPr>
      <w:r>
        <w:rPr>
          <w:rStyle w:val="None"/>
          <w:rtl w:val="0"/>
          <w:lang w:val="en-US"/>
        </w:rPr>
        <w:t xml:space="preserve">                     https://github.com/dfarrel1    |    https://www.linkedin.com/in/denefarrell/</w:t>
      </w:r>
    </w:p>
    <w:p>
      <w:pPr>
        <w:pStyle w:val="Body A"/>
        <w:widowControl w:val="0"/>
        <w:rPr>
          <w:rStyle w:val="None"/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spacing w:line="288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SIDE PROJECTS</w:t>
      </w:r>
    </w:p>
    <w:p>
      <w:pPr>
        <w:pStyle w:val="Body A"/>
        <w:widowControl w:val="0"/>
        <w:spacing w:line="288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Gifthorse Inc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Founder and Developer</w:t>
      </w:r>
      <w:r>
        <w:rPr>
          <w:rStyle w:val="None"/>
          <w:rFonts w:ascii="Cambria" w:cs="Cambria" w:hAnsi="Cambria" w:eastAsia="Cambria"/>
          <w:sz w:val="23"/>
          <w:szCs w:val="23"/>
          <w:lang w:val="en-US"/>
        </w:rPr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                </w:t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June 2018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Present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gifthorse.shop</w:t>
      </w:r>
      <w:r>
        <w:rPr>
          <w:rStyle w:val="None"/>
          <w:rFonts w:ascii="Cambria" w:cs="Cambria" w:hAnsi="Cambria" w:eastAsia="Cambria" w:hint="default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—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a fun and easy gift recommender service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Django Web Backend, React Frontend, Scala Data Engineering and ML Backend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Deployed to AWS on a simple tech stack (Route53, ELB, EC2 + Docker)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Services implemented product parsing and updating, basic frontend functionality, basic recommendation functionalities</w:t>
      </w:r>
    </w:p>
    <w:p>
      <w:pPr>
        <w:pStyle w:val="Body A"/>
        <w:widowControl w:val="0"/>
        <w:spacing w:line="288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spacing w:line="288" w:lineRule="auto"/>
        <w:rPr>
          <w:rStyle w:val="None"/>
          <w:rFonts w:ascii="Cambria" w:cs="Cambria" w:hAnsi="Cambria" w:eastAsia="Cambria"/>
          <w:sz w:val="23"/>
          <w:szCs w:val="23"/>
          <w:lang w:val="de-DE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de-DE"/>
        </w:rPr>
        <w:t>PROFESSIONAL EXPERIENCE</w:t>
      </w:r>
    </w:p>
    <w:p>
      <w:pPr>
        <w:pStyle w:val="Body A"/>
        <w:widowControl w:val="0"/>
        <w:spacing w:line="288" w:lineRule="auto"/>
        <w:rPr>
          <w:rStyle w:val="None"/>
          <w:rFonts w:ascii="Cambria" w:cs="Cambria" w:hAnsi="Cambria" w:eastAsia="Cambria"/>
          <w:sz w:val="23"/>
          <w:szCs w:val="23"/>
          <w:lang w:val="de-DE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Latch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Data Strategy Lead</w:t>
      </w:r>
      <w:r>
        <w:rPr>
          <w:rStyle w:val="None"/>
          <w:rFonts w:ascii="Cambria" w:cs="Cambria" w:hAnsi="Cambria" w:eastAsia="Cambria"/>
          <w:sz w:val="23"/>
          <w:szCs w:val="23"/>
          <w:lang w:val="en-US"/>
        </w:rPr>
        <w:tab/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                </w:t>
        <w:tab/>
        <w:tab/>
        <w:t xml:space="preserve">  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Sept 2019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Present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Planned and build central data ingestion, warehouse, and intelligence systems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Data Governance: Snowflake + Looker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Integration Services: Netsuite + Salesforce + Gainsight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Internal API service: Data Ingestion from multiple producers across the company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Multiple Microservices: CCPA Anonymization, Data Governance Service, SQL runner service, Operational Notifications Service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Machine Learning Pipeline Development and Deployment Guidance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Latch stack: Snowflake, Kubernetes, Looker, Lamba, Kinesis, MongoDB, RDS, Airflow, CircleCI, Jenkins, Scala, Python</w:t>
      </w:r>
    </w:p>
    <w:p>
      <w:pPr>
        <w:pStyle w:val="Body A"/>
        <w:widowControl w:val="0"/>
        <w:bidi w:val="0"/>
        <w:spacing w:line="288" w:lineRule="auto"/>
        <w:ind w:left="0" w:right="0" w:firstLine="0"/>
        <w:jc w:val="left"/>
        <w:rPr>
          <w:rStyle w:val="None"/>
          <w:rFonts w:ascii="Cambria" w:cs="Cambria" w:hAnsi="Cambria" w:eastAsia="Cambria"/>
          <w:sz w:val="23"/>
          <w:szCs w:val="23"/>
          <w:rtl w:val="0"/>
          <w:lang w:val="de-DE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Capital One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Principal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Data Engineer</w:t>
        <w:tab/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                </w:t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March 2019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Sept 2019</w:t>
      </w: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i w:val="1"/>
          <w:i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3"/>
          <w:szCs w:val="23"/>
          <w:rtl w:val="0"/>
          <w:lang w:val="en-US"/>
        </w:rPr>
        <w:t xml:space="preserve">[Card Tech Line of Business - Collections </w:t>
      </w: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3"/>
          <w:szCs w:val="23"/>
          <w:rtl w:val="0"/>
          <w:lang w:val="en-US"/>
        </w:rPr>
        <w:t>]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Snowflake ETL Pipelines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Collaboration between DE and DS, Multi-Arm Bandit Deep Learning Models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Kubernetes deployments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Jenkins CICD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Feature set development across diverse data sets spanning many LOBs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Card Tech stack: Snowflake, Kubernetes, Jenkins, Python</w:t>
      </w:r>
    </w:p>
    <w:p>
      <w:pPr>
        <w:pStyle w:val="Body A"/>
        <w:widowControl w:val="0"/>
        <w:spacing w:line="288" w:lineRule="auto"/>
        <w:rPr>
          <w:rStyle w:val="None"/>
          <w:rFonts w:ascii="Cambria" w:cs="Cambria" w:hAnsi="Cambria" w:eastAsia="Cambria"/>
          <w:sz w:val="23"/>
          <w:szCs w:val="23"/>
          <w:lang w:val="de-DE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Capital One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Principal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Data Engineer</w:t>
        <w:tab/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                </w:t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June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201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8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March 2019</w:t>
      </w: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i w:val="1"/>
          <w:i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3"/>
          <w:szCs w:val="23"/>
          <w:rtl w:val="0"/>
          <w:lang w:val="en-US"/>
        </w:rPr>
        <w:t>[Card Tech Line of Business - Paribus</w:t>
      </w: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3"/>
          <w:szCs w:val="23"/>
          <w:rtl w:val="0"/>
          <w:lang w:val="en-US"/>
        </w:rPr>
        <w:t>]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Lead machine learning engineering in Paribus Hotels.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Rearchitected a legacy monolith into microservices with AWS serverless services.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Implemented extensive testing, instrumentation, and automated deployments.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Paribus stack: Lambda, Dynamo DB, SQS, SNS, ElasticSearch, X-Ray, Jenkins, Python, NodeJS</w:t>
      </w:r>
    </w:p>
    <w:p>
      <w:pPr>
        <w:pStyle w:val="Body A"/>
        <w:widowControl w:val="0"/>
        <w:bidi w:val="0"/>
        <w:spacing w:line="288" w:lineRule="auto"/>
        <w:ind w:left="0" w:right="0" w:firstLine="0"/>
        <w:jc w:val="left"/>
        <w:rPr>
          <w:rStyle w:val="None"/>
          <w:rFonts w:ascii="Cambria" w:cs="Cambria" w:hAnsi="Cambria" w:eastAsia="Cambria"/>
          <w:sz w:val="23"/>
          <w:szCs w:val="23"/>
          <w:rtl w:val="0"/>
          <w:lang w:val="de-DE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  <w:lang w:val="it-IT"/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Capital One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Senior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Data Enginee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r                                                   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May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2017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June 2018</w:t>
      </w: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i w:val="1"/>
          <w:i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3"/>
          <w:szCs w:val="23"/>
          <w:rtl w:val="0"/>
          <w:lang w:val="en-US"/>
        </w:rPr>
        <w:t>[</w:t>
      </w: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3"/>
          <w:szCs w:val="23"/>
          <w:rtl w:val="0"/>
          <w:lang w:val="en-US"/>
        </w:rPr>
        <w:t>Center For Machine Learning]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echnical lead for CardOnFile detections pipeline and RESTful API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Developed and deployed supervised and unsupervised ML models for detections.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Fully automated deployments and rehydrations for a low maintenance production system.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Developed D3 based data visualization tool for complex categorical data.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CardOnFile stack: EMR, Hadoop, RDS, S3, ECS, D3, Jenkins, Luigi, Ansible Tower, Python</w:t>
      </w:r>
    </w:p>
    <w:p>
      <w:pPr>
        <w:pStyle w:val="Body A"/>
        <w:widowControl w:val="0"/>
        <w:spacing w:line="288" w:lineRule="auto"/>
        <w:rPr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Insight Data Science,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Data Engineering Fellow </w:t>
        <w:tab/>
        <w:tab/>
        <w:tab/>
        <w:t xml:space="preserve">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Jan. 2017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Mar.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2017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De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ployed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Fleetingly</w:t>
      </w:r>
      <w:r>
        <w:rPr>
          <w:rFonts w:ascii="Cambria" w:cs="Cambria" w:hAnsi="Cambria" w:eastAsia="Cambria"/>
          <w:sz w:val="23"/>
          <w:szCs w:val="23"/>
          <w:rtl w:val="0"/>
        </w:rPr>
        <w:t xml:space="preserve">,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a taxi fleet analysis application for scalable sensing of geospatial patterns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Implemented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fleet performance analysis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with live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streaming and historical pattern visualization.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Fleetingly stack: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Kafka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,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Hadoop,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de-DE"/>
        </w:rPr>
        <w:t>Spark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Streaming, ElasticSearch,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Kibana, Python, Scala</w:t>
      </w:r>
    </w:p>
    <w:p>
      <w:pPr>
        <w:pStyle w:val="Body A"/>
        <w:widowControl w:val="0"/>
        <w:spacing w:line="288" w:lineRule="auto"/>
        <w:rPr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Sloan Kettering Institute, New York -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Image Analysis Engineer </w:t>
        <w:tab/>
        <w:tab/>
        <w:tab/>
        <w:t xml:space="preserve">    June 2015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Jan. 2017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Developed i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fr-FR"/>
        </w:rPr>
        <w:t xml:space="preserve">mage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processing,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it-IT"/>
        </w:rPr>
        <w:t xml:space="preserve"> computer vision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tools</w:t>
      </w:r>
      <w:r>
        <w:rPr>
          <w:rFonts w:ascii="Cambria" w:cs="Cambria" w:hAnsi="Cambria" w:eastAsia="Cambria"/>
          <w:sz w:val="23"/>
          <w:szCs w:val="23"/>
          <w:rtl w:val="0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and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it-IT"/>
        </w:rPr>
        <w:t>interface design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Fonts w:ascii="Cambria" w:cs="Cambria" w:hAnsi="Cambria" w:eastAsia="Cambria"/>
          <w:sz w:val="23"/>
          <w:szCs w:val="23"/>
          <w:rtl w:val="0"/>
        </w:rPr>
        <w:t>for understand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ing early </w:t>
      </w:r>
      <w:r>
        <w:rPr>
          <w:rStyle w:val="None"/>
          <w:rFonts w:ascii="Cambria" w:cs="Cambria" w:hAnsi="Cambria" w:eastAsia="Cambria"/>
          <w:i w:val="1"/>
          <w:iCs w:val="1"/>
          <w:sz w:val="23"/>
          <w:szCs w:val="23"/>
          <w:rtl w:val="0"/>
          <w:lang w:val="fr-FR"/>
        </w:rPr>
        <w:t>Drosophila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embryo development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with Matlab, Java, Python, C++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88" w:lineRule="auto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z w:val="23"/>
          <w:szCs w:val="23"/>
          <w:rtl w:val="0"/>
          <w:lang w:val="en-US"/>
        </w:rPr>
        <w:t>Made advanced computational tools accessible to non-technical users with</w:t>
      </w:r>
      <w:r>
        <w:rPr>
          <w:rStyle w:val="None"/>
          <w:sz w:val="23"/>
          <w:szCs w:val="23"/>
          <w:rtl w:val="0"/>
          <w:lang w:val="it-IT"/>
        </w:rPr>
        <w:t xml:space="preserve"> intuitive interfaces.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88" w:lineRule="auto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z w:val="23"/>
          <w:szCs w:val="23"/>
          <w:rtl w:val="0"/>
          <w:lang w:val="en-US"/>
        </w:rPr>
        <w:t>Enhanced image processing capabilities in order to analyze previously unobtainable 4D data.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88" w:lineRule="auto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z w:val="23"/>
          <w:szCs w:val="23"/>
          <w:rtl w:val="0"/>
          <w:lang w:val="en-US"/>
        </w:rPr>
        <w:t>Created a full 4D segmentation and movie viewing, segmentation, correction, and analysis interface.</w:t>
      </w:r>
    </w:p>
    <w:p>
      <w:pPr>
        <w:pStyle w:val="Body A"/>
        <w:widowControl w:val="0"/>
        <w:spacing w:line="288" w:lineRule="auto"/>
        <w:ind w:left="360" w:firstLine="0"/>
        <w:rPr>
          <w:rFonts w:ascii="Cambria" w:cs="Cambria" w:hAnsi="Cambria" w:eastAsia="Cambria"/>
          <w:b w:val="1"/>
          <w:bCs w:val="1"/>
          <w:sz w:val="23"/>
          <w:szCs w:val="23"/>
        </w:rPr>
      </w:pPr>
    </w:p>
    <w:p>
      <w:pPr>
        <w:pStyle w:val="Body A"/>
        <w:widowControl w:val="0"/>
        <w:spacing w:line="288" w:lineRule="auto"/>
        <w:ind w:left="360" w:firstLine="0"/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Howard Hughes Medical Institute, New York -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Senior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Research Technician</w:t>
        <w:tab/>
        <w:t xml:space="preserve">  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Dec. 2008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June 2015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Fonts w:ascii="Cambria" w:cs="Cambria" w:hAnsi="Cambria" w:eastAsia="Cambria"/>
          <w:sz w:val="23"/>
          <w:szCs w:val="23"/>
          <w:rtl w:val="0"/>
          <w:lang w:val="en-US"/>
        </w:rPr>
        <w:t xml:space="preserve">Collaborated with graduate students and postdoctoral fellows to formalize and develop computational approaches to quantify cell behaviors in the </w:t>
      </w:r>
      <w:r>
        <w:rPr>
          <w:rStyle w:val="None"/>
          <w:rFonts w:ascii="Cambria" w:cs="Cambria" w:hAnsi="Cambria" w:eastAsia="Cambria"/>
          <w:i w:val="1"/>
          <w:iCs w:val="1"/>
          <w:sz w:val="23"/>
          <w:szCs w:val="23"/>
          <w:rtl w:val="0"/>
          <w:lang w:val="en-US"/>
        </w:rPr>
        <w:t>Drosophila</w:t>
      </w:r>
      <w:r>
        <w:rPr>
          <w:rFonts w:ascii="Cambria" w:cs="Cambria" w:hAnsi="Cambria" w:eastAsia="Cambria"/>
          <w:sz w:val="23"/>
          <w:szCs w:val="23"/>
          <w:rtl w:val="0"/>
          <w:lang w:val="en-US"/>
        </w:rPr>
        <w:t xml:space="preserve"> embryo. 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Fonts w:ascii="Cambria" w:cs="Cambria" w:hAnsi="Cambria" w:eastAsia="Cambria"/>
          <w:sz w:val="23"/>
          <w:szCs w:val="23"/>
          <w:rtl w:val="0"/>
          <w:lang w:val="en-US"/>
        </w:rPr>
        <w:t>Reduced man-hours required for analyzing a movie from 20hrs to 8hrs by enhancing automatic cell recognition algorithms and improving workflow automation.</w:t>
      </w:r>
    </w:p>
    <w:p>
      <w:pPr>
        <w:pStyle w:val="Body A"/>
        <w:widowControl w:val="0"/>
        <w:spacing w:line="288" w:lineRule="auto"/>
        <w:rPr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88" w:lineRule="auto"/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EDUCATION</w:t>
      </w:r>
    </w:p>
    <w:p>
      <w:pPr>
        <w:pStyle w:val="No Spacing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sz w:val="23"/>
          <w:szCs w:val="23"/>
        </w:rPr>
      </w:pPr>
      <w:r>
        <w:rPr>
          <w:rStyle w:val="None"/>
          <w:rFonts w:ascii="Cambria" w:cs="Cambria" w:hAnsi="Cambria" w:eastAsia="Cambria"/>
          <w:b w:val="1"/>
          <w:bCs w:val="1"/>
          <w:sz w:val="23"/>
          <w:szCs w:val="23"/>
          <w:rtl w:val="0"/>
          <w:lang w:val="en-US"/>
        </w:rPr>
        <w:t xml:space="preserve">State University of New York, Binghamton </w:t>
      </w:r>
    </w:p>
    <w:p>
      <w:pPr>
        <w:pStyle w:val="No Spacing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M.S. Systems Science</w:t>
        <w:tab/>
        <w:tab/>
        <w:tab/>
        <w:tab/>
        <w:tab/>
        <w:tab/>
        <w:tab/>
        <w:tab/>
        <w:tab/>
        <w:tab/>
        <w:t xml:space="preserve">       2008</w:t>
      </w:r>
    </w:p>
    <w:p>
      <w:pPr>
        <w:pStyle w:val="No Spacing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B.S. Bioengineering </w:t>
        <w:tab/>
        <w:tab/>
        <w:tab/>
        <w:tab/>
        <w:tab/>
        <w:tab/>
        <w:tab/>
        <w:tab/>
        <w:tab/>
        <w:tab/>
        <w:t xml:space="preserve">       2006</w:t>
      </w: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sz w:val="23"/>
          <w:szCs w:val="23"/>
        </w:rPr>
      </w:pPr>
      <w:r>
        <w:rPr>
          <w:rStyle w:val="None"/>
          <w:rFonts w:ascii="Cambria" w:cs="Cambria" w:hAnsi="Cambria" w:eastAsia="Cambria"/>
          <w:b w:val="1"/>
          <w:bCs w:val="1"/>
          <w:sz w:val="23"/>
          <w:szCs w:val="23"/>
          <w:rtl w:val="0"/>
          <w:lang w:val="en-US"/>
        </w:rPr>
        <w:t>Technical University of Graz, Austria</w:t>
      </w: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German Language Study and Evolutionary Robotics Research</w:t>
        <w:tab/>
        <w:tab/>
        <w:tab/>
        <w:tab/>
        <w:t xml:space="preserve">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2004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>2005</w:t>
      </w:r>
    </w:p>
    <w:p>
      <w:pPr>
        <w:pStyle w:val="Body A"/>
        <w:widowControl w:val="0"/>
        <w:spacing w:line="288" w:lineRule="auto"/>
        <w:rPr>
          <w:rStyle w:val="None"/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88" w:lineRule="auto"/>
      </w:pPr>
    </w:p>
    <w:p>
      <w:pPr>
        <w:pStyle w:val="Body A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  <w:lang w:val="en-US"/>
        </w:rPr>
      </w:pPr>
    </w:p>
    <w:p>
      <w:pPr>
        <w:pStyle w:val="Body A"/>
        <w:spacing w:line="288" w:lineRule="auto"/>
        <w:ind w:left="360" w:firstLine="0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jc w:val="center"/>
        <w:rPr>
          <w:rStyle w:val="None"/>
          <w:rFonts w:ascii="Cambria" w:cs="Cambria" w:hAnsi="Cambria" w:eastAsia="Cambria"/>
          <w:b w:val="1"/>
          <w:bCs w:val="1"/>
          <w:sz w:val="28"/>
          <w:szCs w:val="28"/>
        </w:rPr>
      </w:pPr>
      <w:r>
        <w:rPr>
          <w:rStyle w:val="None"/>
          <w:rFonts w:ascii="Cambria" w:cs="Cambria" w:hAnsi="Cambria" w:eastAsia="Cambria"/>
          <w:b w:val="1"/>
          <w:bCs w:val="1"/>
          <w:sz w:val="28"/>
          <w:szCs w:val="28"/>
          <w:rtl w:val="0"/>
          <w:lang w:val="de-DE"/>
        </w:rPr>
        <w:t>DENE L. FARRELL</w:t>
      </w: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rStyle w:val="None"/>
          <w:rFonts w:ascii="Cambria" w:cs="Cambria" w:hAnsi="Cambria" w:eastAsia="Cambria"/>
          <w:b w:val="1"/>
          <w:bCs w:val="1"/>
          <w:sz w:val="20"/>
          <w:szCs w:val="20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PUBLICATIONS</w:t>
      </w: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rFonts w:ascii="Cambria" w:cs="Cambria" w:hAnsi="Cambria" w:eastAsia="Cambria"/>
          <w:sz w:val="16"/>
          <w:szCs w:val="16"/>
        </w:rPr>
      </w:pPr>
    </w:p>
    <w:p>
      <w:pPr>
        <w:pStyle w:val="Body A"/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Farrell DL</w:t>
      </w:r>
      <w:r>
        <w:rPr>
          <w:rStyle w:val="None"/>
          <w:rFonts w:ascii="Cambria" w:cs="Cambria" w:hAnsi="Cambria" w:eastAsia="Cambria"/>
          <w:rtl w:val="0"/>
          <w:lang w:val="de-DE"/>
        </w:rPr>
        <w:t>, Weitz O, Magnasco M, Zallen JA. SEGGA:</w:t>
      </w:r>
      <w:r>
        <w:rPr>
          <w:rStyle w:val="None"/>
          <w:rFonts w:ascii="Cambria" w:cs="Cambria" w:hAnsi="Cambria" w:eastAsia="Cambria"/>
          <w:rtl w:val="0"/>
        </w:rPr>
        <w:t xml:space="preserve">  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A toolset for rapid automated analysis of epithelial cell polarity and dynamics.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en-US"/>
        </w:rPr>
        <w:t>Development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rtl w:val="0"/>
        </w:rPr>
        <w:t>144(9)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, </w:t>
      </w:r>
      <w:r>
        <w:rPr>
          <w:rStyle w:val="None"/>
          <w:rFonts w:ascii="Cambria" w:cs="Cambria" w:hAnsi="Cambria" w:eastAsia="Cambria"/>
          <w:rtl w:val="0"/>
        </w:rPr>
        <w:t>1725-1734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 (2017)</w:t>
      </w: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rtl w:val="0"/>
        </w:rPr>
        <w:t>Par</w:t>
      </w:r>
      <w:r>
        <w:rPr>
          <w:rStyle w:val="None"/>
          <w:rFonts w:ascii="Cambria" w:cs="Cambria" w:hAnsi="Cambria" w:eastAsia="Cambria"/>
          <w:rtl w:val="0"/>
          <w:lang w:val="en-US"/>
        </w:rPr>
        <w:t>é</w:t>
      </w:r>
      <w:r>
        <w:rPr>
          <w:rStyle w:val="None"/>
          <w:rFonts w:ascii="Cambria" w:cs="Cambria" w:hAnsi="Cambria" w:eastAsia="Cambria"/>
          <w:rtl w:val="0"/>
          <w:lang w:val="es-ES_tradnl"/>
        </w:rPr>
        <w:t xml:space="preserve"> AC, Vichas A, Fincher CT, Mirman Z, </w:t>
      </w: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Farrell DL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, Mainieri A, Zallen JA. A positional Toll receptor code directs convergent extension in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fr-FR"/>
        </w:rPr>
        <w:t>Drosophila</w:t>
      </w:r>
      <w:r>
        <w:rPr>
          <w:rStyle w:val="None"/>
          <w:rFonts w:ascii="Cambria" w:cs="Cambria" w:hAnsi="Cambria" w:eastAsia="Cambria"/>
          <w:rtl w:val="0"/>
        </w:rPr>
        <w:t xml:space="preserve">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fr-FR"/>
        </w:rPr>
        <w:t>Nature</w:t>
      </w:r>
      <w:r>
        <w:rPr>
          <w:rStyle w:val="None"/>
          <w:rFonts w:ascii="Cambria" w:cs="Cambria" w:hAnsi="Cambria" w:eastAsia="Cambria"/>
          <w:rtl w:val="0"/>
        </w:rPr>
        <w:t xml:space="preserve"> 515, 523-527 (2014).</w:t>
      </w: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rtl w:val="0"/>
        </w:rPr>
        <w:t xml:space="preserve">Kasza KE, </w:t>
      </w: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Farrell DL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, Zallen JA. Spatiotemporal control of epithelial remodeling by regulated myosin phosphorylation.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en-US"/>
        </w:rPr>
        <w:t>Proceedings of the National Academy of Sciences.</w:t>
      </w:r>
      <w:r>
        <w:rPr>
          <w:rStyle w:val="None"/>
          <w:rFonts w:ascii="Cambria" w:cs="Cambria" w:hAnsi="Cambria" w:eastAsia="Cambria"/>
          <w:rtl w:val="0"/>
        </w:rPr>
        <w:t>111, 11732-11737 (2014).</w:t>
      </w: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"http://www.ncbi.nlm.nih.gov/pubmed?term=Tamada%252520M%25255BAuthor%25255D&amp;cauthor=true&amp;cauthor_uid=22340496"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Tamada M</w:t>
      </w:r>
      <w:r>
        <w:rPr/>
        <w:fldChar w:fldCharType="end" w:fldLock="0"/>
      </w:r>
      <w:r>
        <w:rPr>
          <w:rStyle w:val="Hyperlink.1"/>
          <w:rtl w:val="0"/>
        </w:rPr>
        <w:t xml:space="preserve">,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"http://www.ncbi.nlm.nih.gov/pubmed?term=Farrell%252520DL%25255BAuthor%25255D&amp;cauthor=true&amp;cauthor_uid=22340496"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Farrell DL</w:t>
      </w:r>
      <w:r>
        <w:rPr/>
        <w:fldChar w:fldCharType="end" w:fldLock="0"/>
      </w:r>
      <w:r>
        <w:rPr>
          <w:rStyle w:val="Hyperlink.1"/>
          <w:rtl w:val="0"/>
        </w:rPr>
        <w:t xml:space="preserve">,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"http://www.ncbi.nlm.nih.gov/pubmed?term=Zallen%252520JA%25255BAuthor%25255D&amp;cauthor=true&amp;cauthor_uid=22340496"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nl-NL"/>
        </w:rPr>
        <w:t>Zallen JA</w:t>
      </w:r>
      <w:r>
        <w:rPr/>
        <w:fldChar w:fldCharType="end" w:fldLock="0"/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. Abl regulates planar polarized junctional dynamics through </w:t>
      </w:r>
      <w:r>
        <w:rPr>
          <w:rStyle w:val="None"/>
          <w:rFonts w:ascii="Cambria" w:cs="Cambria" w:hAnsi="Cambria" w:eastAsia="Cambria"/>
          <w:rtl w:val="0"/>
          <w:lang w:val="en-US"/>
        </w:rPr>
        <w:t>β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-catenin tyrosine phosphorylation.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en-US"/>
        </w:rPr>
        <w:t>Developmental Cell</w:t>
      </w:r>
      <w:r>
        <w:rPr>
          <w:rStyle w:val="Hyperlink.1"/>
          <w:rtl w:val="0"/>
        </w:rPr>
        <w:t xml:space="preserve"> 22, 309-319 (2012). </w:t>
      </w: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Style w:val="Hyperlink.1"/>
        </w:rPr>
      </w:pPr>
      <w:r>
        <w:rPr>
          <w:rStyle w:val="Hyperlink.1"/>
          <w:rtl w:val="0"/>
        </w:rPr>
        <w:t xml:space="preserve">Sayama H, </w:t>
      </w:r>
      <w:r>
        <w:rPr>
          <w:rStyle w:val="Hyperlink.2"/>
          <w:rtl w:val="0"/>
          <w:lang w:val="en-US"/>
        </w:rPr>
        <w:t>Farrell D</w:t>
      </w:r>
      <w:r>
        <w:rPr>
          <w:rStyle w:val="None"/>
          <w:rFonts w:ascii="Cambria" w:cs="Cambria" w:hAnsi="Cambria" w:eastAsia="Cambria"/>
          <w:rtl w:val="0"/>
          <w:lang w:val="fr-FR"/>
        </w:rPr>
        <w:t xml:space="preserve">, Dionne SD.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"http://onlinelibrary.wiley.com/doi/10.1002/cplx.20329/abstract"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The effects of mental model formation on group decision making: An agent-based simulation</w:t>
      </w:r>
      <w:r>
        <w:rPr/>
        <w:fldChar w:fldCharType="end" w:fldLock="0"/>
      </w:r>
      <w:r>
        <w:rPr>
          <w:rStyle w:val="Hyperlink.1"/>
          <w:rtl w:val="0"/>
        </w:rPr>
        <w:t xml:space="preserve">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pt-PT"/>
        </w:rPr>
        <w:t>Complexity</w:t>
      </w:r>
      <w:r>
        <w:rPr>
          <w:rStyle w:val="Hyperlink.1"/>
          <w:rtl w:val="0"/>
        </w:rPr>
        <w:t xml:space="preserve"> 16, 49-57 (2011). </w:t>
      </w: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Style w:val="Hyperlink.1"/>
        </w:rPr>
      </w:pPr>
      <w:r>
        <w:rPr>
          <w:rStyle w:val="Hyperlink.3"/>
          <w:rtl w:val="0"/>
          <w:lang w:val="nl-NL"/>
        </w:rPr>
        <w:t xml:space="preserve">Simoes SD, Blankenship JT, Weitz O, </w:t>
      </w:r>
      <w:r>
        <w:rPr>
          <w:rStyle w:val="Hyperlink.2"/>
          <w:rtl w:val="0"/>
          <w:lang w:val="en-US"/>
        </w:rPr>
        <w:t>Farrell DL</w:t>
      </w:r>
      <w:r>
        <w:rPr>
          <w:rStyle w:val="Hyperlink.4"/>
          <w:rtl w:val="0"/>
          <w:lang w:val="en-US"/>
        </w:rPr>
        <w:t xml:space="preserve">, Tamada M, Fernandez-Gonzalez R, Zallen JA. Rho-kinase directs Bazooka/Par-3 planar polarity during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fr-FR"/>
        </w:rPr>
        <w:t xml:space="preserve">Drosophila </w:t>
      </w:r>
      <w:r>
        <w:rPr>
          <w:rStyle w:val="None"/>
          <w:rFonts w:ascii="Cambria" w:cs="Cambria" w:hAnsi="Cambria" w:eastAsia="Cambria"/>
          <w:rtl w:val="0"/>
          <w:lang w:val="pt-PT"/>
        </w:rPr>
        <w:t xml:space="preserve">axis elongation.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en-US"/>
        </w:rPr>
        <w:t>Developmental Cell</w:t>
      </w:r>
      <w:r>
        <w:rPr>
          <w:rStyle w:val="Hyperlink.1"/>
          <w:rtl w:val="0"/>
        </w:rPr>
        <w:t xml:space="preserve"> 19, 377-388 (2010). </w:t>
      </w: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</w:rPr>
      </w:pPr>
    </w:p>
    <w:p>
      <w:pPr>
        <w:pStyle w:val="Body A"/>
        <w:widowControl w:val="0"/>
        <w:jc w:val="both"/>
        <w:rPr>
          <w:rStyle w:val="Hyperlink.1"/>
        </w:rPr>
      </w:pPr>
      <w:r>
        <w:rPr>
          <w:rStyle w:val="Hyperlink.2"/>
          <w:rtl w:val="0"/>
          <w:lang w:val="en-US"/>
        </w:rPr>
        <w:t>Farrell D</w:t>
      </w:r>
      <w:r>
        <w:rPr>
          <w:rStyle w:val="None"/>
          <w:rFonts w:ascii="Cambria" w:cs="Cambria" w:hAnsi="Cambria" w:eastAsia="Cambria"/>
          <w:rtl w:val="0"/>
          <w:lang w:val="de-DE"/>
        </w:rPr>
        <w:t xml:space="preserve">, Hubler A, Brewer J, Hubler I.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"http://onlinelibrary.wiley.com/doi/10.1002/cplx.20321/abstract"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Acceleration beyond the wave speed in dissipative wave-particle systems</w:t>
      </w:r>
      <w:r>
        <w:rPr/>
        <w:fldChar w:fldCharType="end" w:fldLock="0"/>
      </w:r>
      <w:r>
        <w:rPr>
          <w:rStyle w:val="Hyperlink.1"/>
          <w:rtl w:val="0"/>
        </w:rPr>
        <w:t xml:space="preserve">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pt-PT"/>
        </w:rPr>
        <w:t>Complexity</w:t>
      </w:r>
      <w:r>
        <w:rPr>
          <w:rStyle w:val="Hyperlink.1"/>
          <w:rtl w:val="0"/>
        </w:rPr>
        <w:t xml:space="preserve"> 15, 8</w:t>
      </w:r>
      <w:r>
        <w:rPr>
          <w:rStyle w:val="Hyperlink.4"/>
          <w:rtl w:val="0"/>
          <w:lang w:val="en-US"/>
        </w:rPr>
        <w:t>–</w:t>
      </w:r>
      <w:r>
        <w:rPr>
          <w:rStyle w:val="Hyperlink.1"/>
          <w:rtl w:val="0"/>
        </w:rPr>
        <w:t>11 (2010). DOI:</w:t>
      </w:r>
      <w:r>
        <w:rPr>
          <w:rStyle w:val="Hyperlink.4"/>
          <w:rtl w:val="0"/>
          <w:lang w:val="en-US"/>
        </w:rPr>
        <w:t> </w:t>
      </w:r>
      <w:r>
        <w:rPr>
          <w:rStyle w:val="None"/>
          <w:rFonts w:ascii="Cambria" w:cs="Cambria" w:hAnsi="Cambria" w:eastAsia="Cambria"/>
          <w:rtl w:val="0"/>
          <w:lang w:val="pt-PT"/>
        </w:rPr>
        <w:t>10.1002/cplx.20321.</w:t>
      </w: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</w:rPr>
      </w:pP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</w:rPr>
      </w:pPr>
    </w:p>
    <w:p>
      <w:pPr>
        <w:pStyle w:val="Body A"/>
        <w:widowControl w:val="0"/>
        <w:rPr>
          <w:rStyle w:val="Hyperlink.1"/>
        </w:rPr>
      </w:pPr>
      <w:r>
        <w:rPr>
          <w:rStyle w:val="Hyperlink.2"/>
          <w:rtl w:val="0"/>
          <w:lang w:val="en-US"/>
        </w:rPr>
        <w:t>Farrell D</w:t>
      </w:r>
      <w:r>
        <w:rPr>
          <w:rStyle w:val="Hyperlink.4"/>
          <w:rtl w:val="0"/>
          <w:lang w:val="en-US"/>
        </w:rPr>
        <w:t xml:space="preserve">, Sayama H, Dionne SD, Yammarino FJ, Wilson DS. Evolutionary Perspective on Group Decision Making. Submitted to International Conference of Complex Systems (2007). </w:t>
      </w:r>
    </w:p>
    <w:p>
      <w:pPr>
        <w:pStyle w:val="Body A"/>
        <w:widowControl w:val="0"/>
        <w:rPr>
          <w:rStyle w:val="Hyperlink.1"/>
        </w:rPr>
      </w:pPr>
      <w:r>
        <w:rPr>
          <w:rStyle w:val="Hyperlink.4"/>
          <w:rtl w:val="0"/>
          <w:lang w:val="en-US"/>
        </w:rPr>
        <w:t> </w:t>
      </w: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Style w:val="Hyperlink.1"/>
        </w:rPr>
      </w:pPr>
      <w:r>
        <w:rPr>
          <w:rStyle w:val="None"/>
          <w:rFonts w:ascii="Cambria" w:cs="Cambria" w:hAnsi="Cambria" w:eastAsia="Cambria"/>
          <w:rtl w:val="0"/>
          <w:lang w:val="fr-FR"/>
        </w:rPr>
        <w:t xml:space="preserve">Dionne SD, Sayama H, </w:t>
      </w:r>
      <w:r>
        <w:rPr>
          <w:rStyle w:val="Hyperlink.2"/>
          <w:rtl w:val="0"/>
          <w:lang w:val="en-US"/>
        </w:rPr>
        <w:t>Farrell D</w:t>
      </w:r>
      <w:r>
        <w:rPr>
          <w:rStyle w:val="Hyperlink.4"/>
          <w:rtl w:val="0"/>
          <w:lang w:val="en-US"/>
        </w:rPr>
        <w:t>, Yammarino FJ, Wilson DS, Federman J., Carroll E., Gause D. Evolutionary perspective on group decision making: A within- and between-groups simulation, presented as a talk and paper at the Annual Meeting of the Academy of Management (2007).</w:t>
      </w: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4"/>
        </w:tabs>
      </w:pPr>
      <w:r>
        <w:rPr>
          <w:rStyle w:val="Hyperlink.1"/>
          <w:rtl w:val="0"/>
        </w:rPr>
        <w:t xml:space="preserve">Eldakar OT, </w:t>
      </w:r>
      <w:r>
        <w:rPr>
          <w:rStyle w:val="Hyperlink.2"/>
          <w:rtl w:val="0"/>
          <w:lang w:val="en-US"/>
        </w:rPr>
        <w:t>Farrell DL</w:t>
      </w:r>
      <w:r>
        <w:rPr>
          <w:rStyle w:val="Hyperlink.4"/>
          <w:rtl w:val="0"/>
          <w:lang w:val="en-US"/>
        </w:rPr>
        <w:t xml:space="preserve">, Wilson DS, Selfish punishment: Altruism can be maintained by competition among cheaters.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en-US"/>
        </w:rPr>
        <w:t>Journal of Theoretical Biology</w:t>
      </w:r>
      <w:r>
        <w:rPr>
          <w:rStyle w:val="Hyperlink.1"/>
          <w:rtl w:val="0"/>
        </w:rPr>
        <w:t xml:space="preserve"> 249, 198-205 (2007). </w:t>
      </w:r>
    </w:p>
    <w:sectPr>
      <w:headerReference w:type="default" r:id="rId4"/>
      <w:footerReference w:type="default" r:id="rId5"/>
      <w:pgSz w:w="12240" w:h="15840" w:orient="portrait"/>
      <w:pgMar w:top="720" w:right="1008" w:bottom="720" w:left="10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.0"/>
  </w:abstractNum>
  <w:abstractNum w:abstractNumId="5">
    <w:multiLevelType w:val="hybridMultilevel"/>
    <w:styleLink w:val="Imported Style 2.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56" w:hanging="3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76" w:hanging="3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96" w:hanging="37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16" w:hanging="3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36" w:hanging="3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56" w:hanging="37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76" w:hanging="3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96" w:hanging="3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mbria" w:cs="Cambria" w:hAnsi="Cambria" w:eastAsia="Cambria"/>
      <w:outline w:val="0"/>
      <w:color w:val="000000"/>
      <w:sz w:val="22"/>
      <w:szCs w:val="22"/>
      <w:u w:val="none" w:color="000000"/>
      <w:lang w:val="it-I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.0">
    <w:name w:val="Imported Style 2.0"/>
    <w:pPr>
      <w:numPr>
        <w:numId w:val="5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Cambria" w:cs="Cambria" w:hAnsi="Cambria" w:eastAsia="Cambria"/>
    </w:rPr>
  </w:style>
  <w:style w:type="character" w:styleId="Hyperlink.2">
    <w:name w:val="Hyperlink.2"/>
    <w:basedOn w:val="None"/>
    <w:next w:val="Hyperlink.2"/>
    <w:rPr>
      <w:rFonts w:ascii="Cambria" w:cs="Cambria" w:hAnsi="Cambria" w:eastAsia="Cambria"/>
      <w:b w:val="1"/>
      <w:bCs w:val="1"/>
      <w:lang w:val="en-US"/>
    </w:rPr>
  </w:style>
  <w:style w:type="character" w:styleId="Hyperlink.3">
    <w:name w:val="Hyperlink.3"/>
    <w:basedOn w:val="None"/>
    <w:next w:val="Hyperlink.3"/>
    <w:rPr>
      <w:rFonts w:ascii="Cambria" w:cs="Cambria" w:hAnsi="Cambria" w:eastAsia="Cambria"/>
      <w:lang w:val="nl-NL"/>
    </w:rPr>
  </w:style>
  <w:style w:type="character" w:styleId="Hyperlink.4">
    <w:name w:val="Hyperlink.4"/>
    <w:basedOn w:val="None"/>
    <w:next w:val="Hyperlink.4"/>
    <w:rPr>
      <w:rFonts w:ascii="Cambria" w:cs="Cambria" w:hAnsi="Cambria" w:eastAsia="Cambria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