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习近平总书记强调：“要运用新媒体新技术使工作灵活有效起来，把思想政治工作传统优势和信息技术尽可能的完美融合，顺应新时代和提高吸引力。不仅因材施教也要因时施教，让新媒体作为思政教育的新工具新探索。</w:t>
      </w:r>
      <w:r>
        <w:rPr>
          <w:rFonts w:hint="eastAsia"/>
          <w:lang w:eastAsia="zh-CN"/>
        </w:rPr>
        <w:t>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0MWY1MjNhNzhiNTYwYzg2ZWExMTcyMTdkNGFlZjkifQ=="/>
  </w:docVars>
  <w:rsids>
    <w:rsidRoot w:val="00000000"/>
    <w:rsid w:val="5EF6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2022-05-09T01:58:47Z</dcterms:created>
  <dc:creator>86139</dc:creator>
  <cp:lastModifiedBy>低配男孩想打球</cp:lastModifiedBy>
  <dcterms:modified xsi:type="dcterms:W3CDTF">2022-05-09T01:59:32Z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73AC36A17B9D4770B77009526F3E3152</vt:lpwstr>
  </property>
</Properties>
</file>