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C1F23F">
      <w:pPr>
        <w:pStyle w:val="2"/>
        <w:jc w:val="center"/>
        <w:rPr>
          <w:rFonts w:ascii="Times New Roman" w:hAnsi="Times New Roman" w:eastAsia="黑体" w:cs="Times New Roman"/>
          <w:b w:val="0"/>
          <w:bCs w:val="0"/>
          <w:sz w:val="32"/>
          <w:szCs w:val="32"/>
        </w:rPr>
      </w:pPr>
      <w:bookmarkStart w:id="0" w:name="_GoBack"/>
      <w:bookmarkEnd w:id="0"/>
      <w:r>
        <w:rPr>
          <w:rFonts w:hint="eastAsia" w:ascii="Times New Roman" w:hAnsi="Times New Roman" w:eastAsia="黑体" w:cs="Times New Roman"/>
          <w:b w:val="0"/>
          <w:bCs w:val="0"/>
          <w:sz w:val="32"/>
          <w:szCs w:val="32"/>
        </w:rPr>
        <w:t>实验报告：实验二</w:t>
      </w:r>
    </w:p>
    <w:p w14:paraId="2C774776">
      <w:pPr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hint="eastAsia" w:ascii="Times New Roman" w:hAnsi="Times New Roman" w:eastAsia="黑体" w:cs="Times New Roman"/>
          <w:sz w:val="28"/>
          <w:szCs w:val="28"/>
        </w:rPr>
        <w:t>（一）基于低通滤波器傅里叶变换的灰度图像去噪任务</w:t>
      </w:r>
    </w:p>
    <w:p w14:paraId="76FD34FC">
      <w:pPr>
        <w:spacing w:line="312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任务：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>使用傅里叶变换将空间域原图像转换到频率域，设计低通滤波器函数，完成在</w:t>
      </w:r>
      <w:r>
        <w:rPr>
          <w:rFonts w:ascii="Times New Roman" w:hAnsi="Times New Roman" w:eastAsia="宋体" w:cs="Times New Roman"/>
          <w:sz w:val="24"/>
          <w:szCs w:val="24"/>
        </w:rPr>
        <w:t>NH15</w:t>
      </w:r>
      <w:r>
        <w:rPr>
          <w:rFonts w:hint="eastAsia" w:ascii="Times New Roman" w:hAnsi="Times New Roman" w:eastAsia="宋体" w:cs="Times New Roman"/>
          <w:sz w:val="24"/>
          <w:szCs w:val="24"/>
        </w:rPr>
        <w:t>图像的去噪实验，并展示去噪前后的图像及其中心化对数傅里叶谱，排版格式可参考实验书正文图</w:t>
      </w:r>
      <w:r>
        <w:rPr>
          <w:rFonts w:ascii="Times New Roman" w:hAnsi="Times New Roman" w:eastAsia="宋体" w:cs="Times New Roman"/>
          <w:sz w:val="24"/>
          <w:szCs w:val="24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</w:rPr>
        <w:t>；同时，计算客观图像质量评价指标</w:t>
      </w:r>
      <w:r>
        <w:rPr>
          <w:rFonts w:ascii="Times New Roman" w:hAnsi="Times New Roman" w:eastAsia="宋体" w:cs="Times New Roman"/>
          <w:sz w:val="24"/>
          <w:szCs w:val="24"/>
        </w:rPr>
        <w:t>RMSE</w:t>
      </w:r>
      <w:r>
        <w:rPr>
          <w:rFonts w:hint="eastAsia" w:ascii="Times New Roman" w:hAnsi="Times New Roman" w:eastAsia="宋体" w:cs="Times New Roman"/>
          <w:sz w:val="24"/>
          <w:szCs w:val="24"/>
        </w:rPr>
        <w:t>、</w:t>
      </w:r>
      <w:r>
        <w:rPr>
          <w:rFonts w:ascii="Times New Roman" w:hAnsi="Times New Roman" w:eastAsia="宋体" w:cs="Times New Roman"/>
          <w:sz w:val="24"/>
          <w:szCs w:val="24"/>
        </w:rPr>
        <w:t>PSNR</w:t>
      </w:r>
      <w:r>
        <w:rPr>
          <w:rFonts w:hint="eastAsia" w:ascii="Times New Roman" w:hAnsi="Times New Roman" w:eastAsia="宋体" w:cs="Times New Roman"/>
          <w:sz w:val="24"/>
          <w:szCs w:val="24"/>
        </w:rPr>
        <w:t>、</w:t>
      </w:r>
      <w:r>
        <w:rPr>
          <w:rFonts w:ascii="Times New Roman" w:hAnsi="Times New Roman" w:eastAsia="宋体" w:cs="Times New Roman"/>
          <w:sz w:val="24"/>
          <w:szCs w:val="24"/>
        </w:rPr>
        <w:t>SSIM</w:t>
      </w:r>
      <w:r>
        <w:rPr>
          <w:rFonts w:hint="eastAsia" w:ascii="Times New Roman" w:hAnsi="Times New Roman" w:eastAsia="宋体" w:cs="Times New Roman"/>
          <w:sz w:val="24"/>
          <w:szCs w:val="24"/>
        </w:rPr>
        <w:t>，并补全表</w:t>
      </w:r>
      <w:r>
        <w:rPr>
          <w:rFonts w:ascii="Times New Roman" w:hAnsi="Times New Roman" w:eastAsia="宋体" w:cs="Times New Roman"/>
          <w:sz w:val="24"/>
          <w:szCs w:val="24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</w:rPr>
        <w:t>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5"/>
        <w:gridCol w:w="2765"/>
        <w:gridCol w:w="2766"/>
      </w:tblGrid>
      <w:tr w14:paraId="29CD4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318" w:hRule="atLeast"/>
        </w:trPr>
        <w:tc>
          <w:tcPr>
            <w:tcW w:w="829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E68D72">
            <w:pPr>
              <w:spacing w:line="312" w:lineRule="auto"/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250815" cy="2584450"/>
                  <wp:effectExtent l="0" t="0" r="6985" b="6350"/>
                  <wp:docPr id="5" name="图片 5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0815" cy="258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BACD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7BD313">
            <w:pPr>
              <w:spacing w:line="312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Cs w:val="21"/>
              </w:rPr>
              <w:t>(a)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5D6B0C">
            <w:pPr>
              <w:spacing w:line="312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Cs w:val="21"/>
              </w:rPr>
              <w:t>(b)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E0A1D2">
            <w:pPr>
              <w:spacing w:line="312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Cs w:val="21"/>
              </w:rPr>
              <w:t>(c)</w:t>
            </w:r>
          </w:p>
        </w:tc>
      </w:tr>
    </w:tbl>
    <w:p w14:paraId="7092CB26">
      <w:pPr>
        <w:jc w:val="center"/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图</w:t>
      </w:r>
      <w:r>
        <w:rPr>
          <w:rFonts w:ascii="Times New Roman" w:hAnsi="Times New Roman" w:eastAsia="宋体" w:cs="Times New Roman"/>
          <w:b/>
          <w:bCs/>
        </w:rPr>
        <w:t xml:space="preserve">1 </w:t>
      </w:r>
      <w:r>
        <w:rPr>
          <w:rFonts w:hint="eastAsia" w:ascii="Times New Roman" w:hAnsi="Times New Roman" w:eastAsia="宋体" w:cs="Times New Roman"/>
          <w:b/>
          <w:bCs/>
        </w:rPr>
        <w:t>图像及其中心化对数傅里叶谱。（</w:t>
      </w:r>
      <w:r>
        <w:rPr>
          <w:rFonts w:ascii="Times New Roman" w:hAnsi="Times New Roman" w:eastAsia="宋体" w:cs="Times New Roman"/>
          <w:b/>
          <w:bCs/>
        </w:rPr>
        <w:t>a</w:t>
      </w:r>
      <w:r>
        <w:rPr>
          <w:rFonts w:hint="eastAsia" w:ascii="Times New Roman" w:hAnsi="Times New Roman" w:eastAsia="宋体" w:cs="Times New Roman"/>
          <w:b/>
          <w:bCs/>
        </w:rPr>
        <w:t>）噪声图像；</w:t>
      </w:r>
      <w:r>
        <w:rPr>
          <w:rFonts w:ascii="Times New Roman" w:hAnsi="Times New Roman" w:eastAsia="宋体" w:cs="Times New Roman"/>
          <w:b/>
          <w:bCs/>
        </w:rPr>
        <w:t>(b)</w:t>
      </w:r>
      <w:r>
        <w:rPr>
          <w:rFonts w:hint="eastAsia" w:ascii="Times New Roman" w:hAnsi="Times New Roman" w:eastAsia="宋体" w:cs="Times New Roman"/>
          <w:b/>
          <w:bCs/>
        </w:rPr>
        <w:t>原图像；</w:t>
      </w:r>
      <w:r>
        <w:rPr>
          <w:rFonts w:ascii="Times New Roman" w:hAnsi="Times New Roman" w:eastAsia="宋体" w:cs="Times New Roman"/>
          <w:b/>
          <w:bCs/>
        </w:rPr>
        <w:t>(c)</w:t>
      </w:r>
      <w:r>
        <w:rPr>
          <w:rFonts w:hint="eastAsia" w:ascii="Times New Roman" w:hAnsi="Times New Roman" w:eastAsia="宋体" w:cs="Times New Roman"/>
          <w:b/>
          <w:bCs/>
        </w:rPr>
        <w:t>去噪图像。</w:t>
      </w:r>
    </w:p>
    <w:p w14:paraId="4A885B0D">
      <w:pPr>
        <w:spacing w:before="156" w:beforeLines="50"/>
        <w:jc w:val="center"/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表</w:t>
      </w:r>
      <w:r>
        <w:rPr>
          <w:rFonts w:ascii="Times New Roman" w:hAnsi="Times New Roman" w:eastAsia="宋体" w:cs="Times New Roman"/>
          <w:b/>
          <w:bCs/>
        </w:rPr>
        <w:t xml:space="preserve">1 </w:t>
      </w:r>
      <w:r>
        <w:rPr>
          <w:rFonts w:hint="eastAsia" w:ascii="Times New Roman" w:hAnsi="Times New Roman" w:eastAsia="宋体" w:cs="Times New Roman"/>
          <w:b/>
          <w:bCs/>
        </w:rPr>
        <w:t>图像去噪前、后的客观质量评价指标结果</w:t>
      </w:r>
    </w:p>
    <w:tbl>
      <w:tblPr>
        <w:tblStyle w:val="3"/>
        <w:tblW w:w="3293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1"/>
        <w:gridCol w:w="1316"/>
        <w:gridCol w:w="1390"/>
        <w:gridCol w:w="1316"/>
      </w:tblGrid>
      <w:tr w14:paraId="6EC9FA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41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C19F170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2"/>
              </w:rPr>
              <w:t>Data</w:t>
            </w:r>
          </w:p>
        </w:tc>
        <w:tc>
          <w:tcPr>
            <w:tcW w:w="117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504F39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2"/>
              </w:rPr>
              <w:t>Metric</w:t>
            </w:r>
          </w:p>
        </w:tc>
        <w:tc>
          <w:tcPr>
            <w:tcW w:w="1238" w:type="pct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35FC0929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2"/>
              </w:rPr>
              <w:t>Original</w:t>
            </w:r>
          </w:p>
        </w:tc>
        <w:tc>
          <w:tcPr>
            <w:tcW w:w="1173" w:type="pct"/>
            <w:tcBorders>
              <w:top w:val="single" w:color="auto" w:sz="4" w:space="0"/>
              <w:left w:val="nil"/>
              <w:bottom w:val="nil"/>
              <w:right w:val="nil"/>
            </w:tcBorders>
            <w:noWrap/>
            <w:vAlign w:val="center"/>
          </w:tcPr>
          <w:p w14:paraId="20F8405D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2"/>
              </w:rPr>
              <w:t>FFT</w:t>
            </w:r>
          </w:p>
        </w:tc>
      </w:tr>
      <w:tr w14:paraId="79265E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418" w:type="pct"/>
            <w:vMerge w:val="restart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55A6EA67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NH09</w:t>
            </w:r>
          </w:p>
        </w:tc>
        <w:tc>
          <w:tcPr>
            <w:tcW w:w="1172" w:type="pct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7F7B5525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RMSE↓</w:t>
            </w:r>
          </w:p>
        </w:tc>
        <w:tc>
          <w:tcPr>
            <w:tcW w:w="1238" w:type="pct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397E6394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23.92</w:t>
            </w:r>
          </w:p>
        </w:tc>
        <w:tc>
          <w:tcPr>
            <w:tcW w:w="1173" w:type="pct"/>
            <w:tcBorders>
              <w:top w:val="single" w:color="auto" w:sz="4" w:space="0"/>
              <w:left w:val="nil"/>
              <w:bottom w:val="nil"/>
              <w:right w:val="nil"/>
            </w:tcBorders>
            <w:noWrap/>
            <w:vAlign w:val="center"/>
          </w:tcPr>
          <w:p w14:paraId="40BEF769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2"/>
              </w:rPr>
              <w:t>16.67</w:t>
            </w:r>
          </w:p>
        </w:tc>
      </w:tr>
      <w:tr w14:paraId="536316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50002E12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</w:p>
        </w:tc>
        <w:tc>
          <w:tcPr>
            <w:tcW w:w="1172" w:type="pct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31F4393D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PSNR↑</w:t>
            </w:r>
          </w:p>
        </w:tc>
        <w:tc>
          <w:tcPr>
            <w:tcW w:w="1238" w:type="pct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0144A4B1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20.55</w:t>
            </w:r>
          </w:p>
        </w:tc>
        <w:tc>
          <w:tcPr>
            <w:tcW w:w="1173" w:type="pct"/>
            <w:noWrap/>
            <w:vAlign w:val="center"/>
          </w:tcPr>
          <w:p w14:paraId="416ED160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2"/>
              </w:rPr>
              <w:t>23.69</w:t>
            </w:r>
          </w:p>
        </w:tc>
      </w:tr>
      <w:tr w14:paraId="1D3E8F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1B6CEF57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</w:p>
        </w:tc>
        <w:tc>
          <w:tcPr>
            <w:tcW w:w="117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D268E6F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SSIM↑</w:t>
            </w:r>
          </w:p>
        </w:tc>
        <w:tc>
          <w:tcPr>
            <w:tcW w:w="12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330A26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0.429</w:t>
            </w:r>
          </w:p>
        </w:tc>
        <w:tc>
          <w:tcPr>
            <w:tcW w:w="1173" w:type="pct"/>
            <w:tcBorders>
              <w:top w:val="nil"/>
              <w:left w:val="nil"/>
              <w:bottom w:val="single" w:color="auto" w:sz="4" w:space="0"/>
              <w:right w:val="nil"/>
            </w:tcBorders>
            <w:noWrap/>
            <w:vAlign w:val="center"/>
          </w:tcPr>
          <w:p w14:paraId="401914C5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2"/>
              </w:rPr>
              <w:t>0.585</w:t>
            </w:r>
          </w:p>
        </w:tc>
      </w:tr>
      <w:tr w14:paraId="772E5A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418" w:type="pct"/>
            <w:vMerge w:val="restart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0415E0BA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NH15</w:t>
            </w:r>
          </w:p>
        </w:tc>
        <w:tc>
          <w:tcPr>
            <w:tcW w:w="1172" w:type="pct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565B0481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RMSE↓</w:t>
            </w:r>
          </w:p>
        </w:tc>
        <w:tc>
          <w:tcPr>
            <w:tcW w:w="1238" w:type="pct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7CC8A6E5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</w:rPr>
              <w:t>51.47</w:t>
            </w:r>
          </w:p>
        </w:tc>
        <w:tc>
          <w:tcPr>
            <w:tcW w:w="1173" w:type="pct"/>
            <w:tcBorders>
              <w:top w:val="single" w:color="auto" w:sz="4" w:space="0"/>
              <w:left w:val="nil"/>
              <w:bottom w:val="nil"/>
              <w:right w:val="nil"/>
            </w:tcBorders>
            <w:noWrap/>
            <w:vAlign w:val="center"/>
          </w:tcPr>
          <w:p w14:paraId="38B79DD2">
            <w:pPr>
              <w:widowControl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  <w:lang w:val="en-US" w:eastAsia="zh-CN"/>
              </w:rPr>
              <w:t>17.97</w:t>
            </w:r>
          </w:p>
        </w:tc>
      </w:tr>
      <w:tr w14:paraId="316E0C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48485436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</w:p>
        </w:tc>
        <w:tc>
          <w:tcPr>
            <w:tcW w:w="1172" w:type="pct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19D38040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PSNR↑</w:t>
            </w:r>
          </w:p>
        </w:tc>
        <w:tc>
          <w:tcPr>
            <w:tcW w:w="1238" w:type="pct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61EBC88D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</w:rPr>
              <w:t>13.90</w:t>
            </w:r>
          </w:p>
        </w:tc>
        <w:tc>
          <w:tcPr>
            <w:tcW w:w="1173" w:type="pct"/>
            <w:noWrap/>
            <w:vAlign w:val="center"/>
          </w:tcPr>
          <w:p w14:paraId="2D79B6FE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</w:rPr>
              <w:t>23.04</w:t>
            </w:r>
          </w:p>
        </w:tc>
      </w:tr>
      <w:tr w14:paraId="4C109D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65D26B5A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</w:p>
        </w:tc>
        <w:tc>
          <w:tcPr>
            <w:tcW w:w="117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6D40D9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SSIM↑</w:t>
            </w:r>
          </w:p>
        </w:tc>
        <w:tc>
          <w:tcPr>
            <w:tcW w:w="12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5DA6E9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</w:rPr>
              <w:t>0.516</w:t>
            </w:r>
          </w:p>
        </w:tc>
        <w:tc>
          <w:tcPr>
            <w:tcW w:w="1173" w:type="pct"/>
            <w:tcBorders>
              <w:top w:val="nil"/>
              <w:left w:val="nil"/>
              <w:bottom w:val="single" w:color="auto" w:sz="4" w:space="0"/>
              <w:right w:val="nil"/>
            </w:tcBorders>
            <w:noWrap/>
            <w:vAlign w:val="center"/>
          </w:tcPr>
          <w:p w14:paraId="69D92FEE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</w:rPr>
              <w:t>0.561</w:t>
            </w:r>
          </w:p>
        </w:tc>
      </w:tr>
    </w:tbl>
    <w:p w14:paraId="34862B44">
      <w:pPr>
        <w:ind w:left="840" w:firstLine="542" w:firstLineChars="300"/>
        <w:rPr>
          <w:rFonts w:ascii="Times New Roman" w:hAnsi="Times New Roman" w:eastAsia="宋体" w:cs="Times New Roman"/>
          <w:b/>
          <w:bCs/>
          <w:sz w:val="18"/>
          <w:szCs w:val="20"/>
        </w:rPr>
      </w:pPr>
      <w:r>
        <w:rPr>
          <w:rFonts w:hint="eastAsia" w:ascii="Times New Roman" w:hAnsi="Times New Roman" w:eastAsia="宋体" w:cs="Times New Roman"/>
          <w:b/>
          <w:bCs/>
          <w:sz w:val="18"/>
          <w:szCs w:val="20"/>
        </w:rPr>
        <w:t>注：与上一实验不同，本实验不需要将图像长宽进行缩放。计算指标前，</w:t>
      </w:r>
    </w:p>
    <w:p w14:paraId="1A3697B6">
      <w:pPr>
        <w:ind w:left="962" w:firstLine="420"/>
        <w:rPr>
          <w:rFonts w:ascii="Times New Roman" w:hAnsi="Times New Roman" w:eastAsia="宋体" w:cs="Times New Roman"/>
          <w:b/>
          <w:bCs/>
          <w:sz w:val="18"/>
          <w:szCs w:val="20"/>
        </w:rPr>
      </w:pPr>
      <w:r>
        <w:rPr>
          <w:rFonts w:hint="eastAsia" w:ascii="Times New Roman" w:hAnsi="Times New Roman" w:eastAsia="宋体" w:cs="Times New Roman"/>
          <w:b/>
          <w:bCs/>
          <w:sz w:val="18"/>
          <w:szCs w:val="20"/>
        </w:rPr>
        <w:t>请先将输入变量的数值范围调整到</w:t>
      </w:r>
      <w:r>
        <w:rPr>
          <w:rFonts w:ascii="Times New Roman" w:hAnsi="Times New Roman" w:eastAsia="宋体" w:cs="Times New Roman"/>
          <w:b/>
          <w:bCs/>
          <w:sz w:val="18"/>
          <w:szCs w:val="20"/>
        </w:rPr>
        <w:t>[0,255]</w:t>
      </w:r>
      <w:r>
        <w:rPr>
          <w:rFonts w:hint="eastAsia" w:ascii="Times New Roman" w:hAnsi="Times New Roman" w:eastAsia="宋体" w:cs="Times New Roman"/>
          <w:b/>
          <w:bCs/>
          <w:sz w:val="18"/>
          <w:szCs w:val="20"/>
        </w:rPr>
        <w:t>。</w:t>
      </w:r>
    </w:p>
    <w:p w14:paraId="45183A5C">
      <w:pPr>
        <w:ind w:left="962" w:firstLine="420"/>
        <w:rPr>
          <w:rFonts w:ascii="Times New Roman" w:hAnsi="Times New Roman" w:eastAsia="宋体" w:cs="Times New Roman"/>
          <w:b/>
          <w:bCs/>
          <w:sz w:val="18"/>
          <w:szCs w:val="20"/>
        </w:rPr>
      </w:pPr>
    </w:p>
    <w:p w14:paraId="527FA97C">
      <w:pPr>
        <w:widowControl/>
        <w:jc w:val="left"/>
        <w:rPr>
          <w:rFonts w:ascii="Times New Roman" w:hAnsi="Times New Roman" w:eastAsia="宋体" w:cs="Times New Roman"/>
          <w:b/>
          <w:bCs/>
          <w:sz w:val="18"/>
          <w:szCs w:val="20"/>
        </w:rPr>
      </w:pPr>
      <w:r>
        <w:rPr>
          <w:rFonts w:ascii="Times New Roman" w:hAnsi="Times New Roman" w:eastAsia="宋体" w:cs="Times New Roman"/>
          <w:b/>
          <w:bCs/>
          <w:sz w:val="18"/>
          <w:szCs w:val="20"/>
        </w:rPr>
        <w:br w:type="page"/>
      </w:r>
    </w:p>
    <w:p w14:paraId="3B66E9F3">
      <w:pPr>
        <w:spacing w:before="156" w:beforeLines="50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hint="eastAsia" w:ascii="Times New Roman" w:hAnsi="Times New Roman" w:eastAsia="黑体" w:cs="Times New Roman"/>
          <w:sz w:val="28"/>
          <w:szCs w:val="28"/>
        </w:rPr>
        <w:t>（二）基于陷波滤波器傅里叶变换的灰度图像去噪任务</w:t>
      </w:r>
    </w:p>
    <w:p w14:paraId="7629D808">
      <w:pPr>
        <w:spacing w:line="312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任务：</w:t>
      </w:r>
      <w:r>
        <w:rPr>
          <w:rFonts w:hint="eastAsia" w:ascii="Times New Roman" w:hAnsi="Times New Roman" w:eastAsia="宋体" w:cs="Times New Roman"/>
          <w:sz w:val="24"/>
          <w:szCs w:val="24"/>
        </w:rPr>
        <w:t>完成在</w:t>
      </w:r>
      <w:r>
        <w:rPr>
          <w:rFonts w:ascii="Times New Roman" w:hAnsi="Times New Roman" w:eastAsia="宋体" w:cs="Times New Roman"/>
          <w:sz w:val="24"/>
          <w:szCs w:val="24"/>
        </w:rPr>
        <w:t>NH06</w:t>
      </w:r>
      <w:r>
        <w:rPr>
          <w:rFonts w:hint="eastAsia" w:ascii="Times New Roman" w:hAnsi="Times New Roman" w:eastAsia="宋体" w:cs="Times New Roman"/>
          <w:sz w:val="24"/>
          <w:szCs w:val="24"/>
        </w:rPr>
        <w:t>图像的去噪实验，并展示去噪前后的图像及其中心化对数傅里叶谱，排版格式可参考实验书正文图</w:t>
      </w:r>
      <w:r>
        <w:rPr>
          <w:rFonts w:ascii="Times New Roman" w:hAnsi="Times New Roman" w:eastAsia="宋体" w:cs="Times New Roman"/>
          <w:sz w:val="24"/>
          <w:szCs w:val="24"/>
        </w:rPr>
        <w:t>4</w:t>
      </w:r>
      <w:r>
        <w:rPr>
          <w:rFonts w:hint="eastAsia" w:ascii="Times New Roman" w:hAnsi="Times New Roman" w:eastAsia="宋体" w:cs="Times New Roman"/>
          <w:sz w:val="24"/>
          <w:szCs w:val="24"/>
        </w:rPr>
        <w:t>；同时，计算客观图像质量评价指标</w:t>
      </w:r>
      <w:r>
        <w:rPr>
          <w:rFonts w:ascii="Times New Roman" w:hAnsi="Times New Roman" w:eastAsia="宋体" w:cs="Times New Roman"/>
          <w:sz w:val="24"/>
          <w:szCs w:val="24"/>
        </w:rPr>
        <w:t>RMSE</w:t>
      </w:r>
      <w:r>
        <w:rPr>
          <w:rFonts w:hint="eastAsia" w:ascii="Times New Roman" w:hAnsi="Times New Roman" w:eastAsia="宋体" w:cs="Times New Roman"/>
          <w:sz w:val="24"/>
          <w:szCs w:val="24"/>
        </w:rPr>
        <w:t>、</w:t>
      </w:r>
      <w:r>
        <w:rPr>
          <w:rFonts w:ascii="Times New Roman" w:hAnsi="Times New Roman" w:eastAsia="宋体" w:cs="Times New Roman"/>
          <w:sz w:val="24"/>
          <w:szCs w:val="24"/>
        </w:rPr>
        <w:t>PSNR</w:t>
      </w:r>
      <w:r>
        <w:rPr>
          <w:rFonts w:hint="eastAsia" w:ascii="Times New Roman" w:hAnsi="Times New Roman" w:eastAsia="宋体" w:cs="Times New Roman"/>
          <w:sz w:val="24"/>
          <w:szCs w:val="24"/>
        </w:rPr>
        <w:t>、</w:t>
      </w:r>
      <w:r>
        <w:rPr>
          <w:rFonts w:ascii="Times New Roman" w:hAnsi="Times New Roman" w:eastAsia="宋体" w:cs="Times New Roman"/>
          <w:sz w:val="24"/>
          <w:szCs w:val="24"/>
        </w:rPr>
        <w:t>SSIM</w:t>
      </w:r>
      <w:r>
        <w:rPr>
          <w:rFonts w:hint="eastAsia" w:ascii="Times New Roman" w:hAnsi="Times New Roman" w:eastAsia="宋体" w:cs="Times New Roman"/>
          <w:sz w:val="24"/>
          <w:szCs w:val="24"/>
        </w:rPr>
        <w:t>，并补全表</w:t>
      </w:r>
      <w:r>
        <w:rPr>
          <w:rFonts w:ascii="Times New Roman" w:hAnsi="Times New Roman" w:eastAsia="宋体" w:cs="Times New Roman"/>
          <w:sz w:val="24"/>
          <w:szCs w:val="24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</w:rPr>
        <w:t>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5"/>
        <w:gridCol w:w="2765"/>
        <w:gridCol w:w="2766"/>
      </w:tblGrid>
      <w:tr w14:paraId="46AF0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318" w:hRule="atLeast"/>
        </w:trPr>
        <w:tc>
          <w:tcPr>
            <w:tcW w:w="829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F323BD">
            <w:pPr>
              <w:spacing w:line="312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4905375" cy="2520315"/>
                  <wp:effectExtent l="0" t="0" r="9525" b="6985"/>
                  <wp:docPr id="2" name="图片 2" descr="untitl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untitled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75" cy="2520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50BC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B8A4DD">
            <w:pPr>
              <w:spacing w:line="312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Cs w:val="21"/>
              </w:rPr>
              <w:t>(a)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9993D8">
            <w:pPr>
              <w:spacing w:line="312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Cs w:val="21"/>
              </w:rPr>
              <w:t>(b)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C98BFA">
            <w:pPr>
              <w:spacing w:line="312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Cs w:val="21"/>
              </w:rPr>
              <w:t>(c)</w:t>
            </w:r>
          </w:p>
        </w:tc>
      </w:tr>
    </w:tbl>
    <w:p w14:paraId="10F8FB1B">
      <w:pPr>
        <w:jc w:val="center"/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图</w:t>
      </w:r>
      <w:r>
        <w:rPr>
          <w:rFonts w:ascii="Times New Roman" w:hAnsi="Times New Roman" w:eastAsia="宋体" w:cs="Times New Roman"/>
          <w:b/>
          <w:bCs/>
        </w:rPr>
        <w:t xml:space="preserve">1 </w:t>
      </w:r>
      <w:r>
        <w:rPr>
          <w:rFonts w:hint="eastAsia" w:ascii="Times New Roman" w:hAnsi="Times New Roman" w:eastAsia="宋体" w:cs="Times New Roman"/>
          <w:b/>
          <w:bCs/>
        </w:rPr>
        <w:t>图像及其中心化对数傅里叶谱。（</w:t>
      </w:r>
      <w:r>
        <w:rPr>
          <w:rFonts w:ascii="Times New Roman" w:hAnsi="Times New Roman" w:eastAsia="宋体" w:cs="Times New Roman"/>
          <w:b/>
          <w:bCs/>
        </w:rPr>
        <w:t>a</w:t>
      </w:r>
      <w:r>
        <w:rPr>
          <w:rFonts w:hint="eastAsia" w:ascii="Times New Roman" w:hAnsi="Times New Roman" w:eastAsia="宋体" w:cs="Times New Roman"/>
          <w:b/>
          <w:bCs/>
        </w:rPr>
        <w:t>）噪声图像；</w:t>
      </w:r>
      <w:r>
        <w:rPr>
          <w:rFonts w:ascii="Times New Roman" w:hAnsi="Times New Roman" w:eastAsia="宋体" w:cs="Times New Roman"/>
          <w:b/>
          <w:bCs/>
        </w:rPr>
        <w:t>(b)</w:t>
      </w:r>
      <w:r>
        <w:rPr>
          <w:rFonts w:hint="eastAsia" w:ascii="Times New Roman" w:hAnsi="Times New Roman" w:eastAsia="宋体" w:cs="Times New Roman"/>
          <w:b/>
          <w:bCs/>
        </w:rPr>
        <w:t>原图像；</w:t>
      </w:r>
      <w:r>
        <w:rPr>
          <w:rFonts w:ascii="Times New Roman" w:hAnsi="Times New Roman" w:eastAsia="宋体" w:cs="Times New Roman"/>
          <w:b/>
          <w:bCs/>
        </w:rPr>
        <w:t>(c)</w:t>
      </w:r>
      <w:r>
        <w:rPr>
          <w:rFonts w:hint="eastAsia" w:ascii="Times New Roman" w:hAnsi="Times New Roman" w:eastAsia="宋体" w:cs="Times New Roman"/>
          <w:b/>
          <w:bCs/>
        </w:rPr>
        <w:t>去噪图像。</w:t>
      </w:r>
    </w:p>
    <w:p w14:paraId="7D8540C9">
      <w:pPr>
        <w:spacing w:before="156" w:beforeLines="50"/>
        <w:jc w:val="center"/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表</w:t>
      </w:r>
      <w:r>
        <w:rPr>
          <w:rFonts w:ascii="Times New Roman" w:hAnsi="Times New Roman" w:eastAsia="宋体" w:cs="Times New Roman"/>
          <w:b/>
          <w:bCs/>
        </w:rPr>
        <w:t xml:space="preserve">2 </w:t>
      </w:r>
      <w:r>
        <w:rPr>
          <w:rFonts w:hint="eastAsia" w:ascii="Times New Roman" w:hAnsi="Times New Roman" w:eastAsia="宋体" w:cs="Times New Roman"/>
          <w:b/>
          <w:bCs/>
        </w:rPr>
        <w:t>图像去噪前、后的客观质量评价指标结果</w:t>
      </w:r>
    </w:p>
    <w:tbl>
      <w:tblPr>
        <w:tblStyle w:val="3"/>
        <w:tblW w:w="3293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4"/>
        <w:gridCol w:w="1316"/>
        <w:gridCol w:w="1390"/>
        <w:gridCol w:w="1313"/>
      </w:tblGrid>
      <w:tr w14:paraId="65938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42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C135D6C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2"/>
              </w:rPr>
              <w:t>Data</w:t>
            </w:r>
          </w:p>
        </w:tc>
        <w:tc>
          <w:tcPr>
            <w:tcW w:w="117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F3E290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2"/>
              </w:rPr>
              <w:t>Metric</w:t>
            </w:r>
          </w:p>
        </w:tc>
        <w:tc>
          <w:tcPr>
            <w:tcW w:w="1238" w:type="pct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60475832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2"/>
              </w:rPr>
              <w:t>Original</w:t>
            </w:r>
          </w:p>
        </w:tc>
        <w:tc>
          <w:tcPr>
            <w:tcW w:w="1170" w:type="pct"/>
            <w:tcBorders>
              <w:top w:val="single" w:color="auto" w:sz="4" w:space="0"/>
              <w:left w:val="nil"/>
              <w:bottom w:val="nil"/>
              <w:right w:val="nil"/>
            </w:tcBorders>
            <w:noWrap/>
            <w:vAlign w:val="center"/>
          </w:tcPr>
          <w:p w14:paraId="2C0F649C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2"/>
              </w:rPr>
              <w:t>FFT</w:t>
            </w:r>
          </w:p>
        </w:tc>
      </w:tr>
      <w:tr w14:paraId="7E2212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420" w:type="pct"/>
            <w:vMerge w:val="restart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74DDA97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NH47</w:t>
            </w:r>
          </w:p>
        </w:tc>
        <w:tc>
          <w:tcPr>
            <w:tcW w:w="1172" w:type="pct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30C7BB62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RMSE↓</w:t>
            </w:r>
          </w:p>
        </w:tc>
        <w:tc>
          <w:tcPr>
            <w:tcW w:w="1238" w:type="pct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796C60FC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17.55</w:t>
            </w:r>
          </w:p>
        </w:tc>
        <w:tc>
          <w:tcPr>
            <w:tcW w:w="1170" w:type="pct"/>
            <w:tcBorders>
              <w:top w:val="single" w:color="auto" w:sz="4" w:space="0"/>
              <w:left w:val="nil"/>
              <w:bottom w:val="nil"/>
              <w:right w:val="nil"/>
            </w:tcBorders>
            <w:noWrap/>
            <w:vAlign w:val="center"/>
          </w:tcPr>
          <w:p w14:paraId="4DD1A133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2"/>
                <w:highlight w:val="yellow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2"/>
              </w:rPr>
              <w:t>11.39</w:t>
            </w:r>
          </w:p>
        </w:tc>
      </w:tr>
      <w:tr w14:paraId="0B032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7C3BAE35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</w:p>
        </w:tc>
        <w:tc>
          <w:tcPr>
            <w:tcW w:w="1172" w:type="pct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18973159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PSNR↑</w:t>
            </w:r>
          </w:p>
        </w:tc>
        <w:tc>
          <w:tcPr>
            <w:tcW w:w="1238" w:type="pct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7B4CF42D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23.24</w:t>
            </w:r>
          </w:p>
        </w:tc>
        <w:tc>
          <w:tcPr>
            <w:tcW w:w="1170" w:type="pct"/>
            <w:noWrap/>
            <w:vAlign w:val="center"/>
          </w:tcPr>
          <w:p w14:paraId="5240622D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2"/>
                <w:highlight w:val="yellow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2"/>
              </w:rPr>
              <w:t>27.00</w:t>
            </w:r>
          </w:p>
        </w:tc>
      </w:tr>
      <w:tr w14:paraId="3CD4FD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13FCB4DF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</w:p>
        </w:tc>
        <w:tc>
          <w:tcPr>
            <w:tcW w:w="117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B3931F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SSIM↑</w:t>
            </w:r>
          </w:p>
        </w:tc>
        <w:tc>
          <w:tcPr>
            <w:tcW w:w="12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1FEA5F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0.808</w:t>
            </w:r>
          </w:p>
        </w:tc>
        <w:tc>
          <w:tcPr>
            <w:tcW w:w="1170" w:type="pct"/>
            <w:tcBorders>
              <w:top w:val="nil"/>
              <w:left w:val="nil"/>
              <w:bottom w:val="single" w:color="auto" w:sz="4" w:space="0"/>
              <w:right w:val="nil"/>
            </w:tcBorders>
            <w:noWrap/>
            <w:vAlign w:val="center"/>
          </w:tcPr>
          <w:p w14:paraId="376F1DBF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2"/>
                <w:highlight w:val="yellow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2"/>
              </w:rPr>
              <w:t>0.937</w:t>
            </w:r>
          </w:p>
        </w:tc>
      </w:tr>
      <w:tr w14:paraId="561074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420" w:type="pct"/>
            <w:vMerge w:val="restart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51FCE5AA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NH06</w:t>
            </w:r>
          </w:p>
        </w:tc>
        <w:tc>
          <w:tcPr>
            <w:tcW w:w="1172" w:type="pct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6E0393F4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RMSE↓</w:t>
            </w:r>
          </w:p>
        </w:tc>
        <w:tc>
          <w:tcPr>
            <w:tcW w:w="13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1A4FF8BF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</w:rPr>
              <w:t>51.47</w:t>
            </w:r>
          </w:p>
        </w:tc>
        <w:tc>
          <w:tcPr>
            <w:tcW w:w="1280" w:type="dxa"/>
            <w:tcBorders>
              <w:top w:val="single" w:color="auto" w:sz="4" w:space="0"/>
              <w:left w:val="nil"/>
              <w:bottom w:val="nil"/>
              <w:right w:val="nil"/>
            </w:tcBorders>
            <w:noWrap/>
            <w:vAlign w:val="center"/>
          </w:tcPr>
          <w:p w14:paraId="090669AB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</w:rPr>
              <w:t>41.94</w:t>
            </w:r>
          </w:p>
        </w:tc>
      </w:tr>
      <w:tr w14:paraId="33CC05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503FFF24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</w:p>
        </w:tc>
        <w:tc>
          <w:tcPr>
            <w:tcW w:w="1172" w:type="pct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422BF6AC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PSNR↑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2BA30239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</w:rPr>
              <w:t>13.90</w:t>
            </w:r>
          </w:p>
        </w:tc>
        <w:tc>
          <w:tcPr>
            <w:tcW w:w="1280" w:type="dxa"/>
            <w:noWrap/>
            <w:vAlign w:val="center"/>
          </w:tcPr>
          <w:p w14:paraId="2799011A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</w:rPr>
              <w:t>15.68</w:t>
            </w:r>
          </w:p>
        </w:tc>
      </w:tr>
      <w:tr w14:paraId="6E79C7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34F655C4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</w:p>
        </w:tc>
        <w:tc>
          <w:tcPr>
            <w:tcW w:w="117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4514A5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SSIM↑</w:t>
            </w:r>
          </w:p>
        </w:tc>
        <w:tc>
          <w:tcPr>
            <w:tcW w:w="13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A35F2FB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</w:rPr>
              <w:t>0.516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4" w:space="0"/>
              <w:right w:val="nil"/>
            </w:tcBorders>
            <w:noWrap/>
            <w:vAlign w:val="center"/>
          </w:tcPr>
          <w:p w14:paraId="22B75663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</w:rPr>
              <w:t>0.768</w:t>
            </w:r>
          </w:p>
        </w:tc>
      </w:tr>
    </w:tbl>
    <w:p w14:paraId="5F5D224E">
      <w:pPr>
        <w:ind w:left="840" w:firstLine="542" w:firstLineChars="300"/>
        <w:rPr>
          <w:rFonts w:ascii="Times New Roman" w:hAnsi="Times New Roman" w:eastAsia="宋体" w:cs="Times New Roman"/>
          <w:b/>
          <w:bCs/>
          <w:sz w:val="18"/>
          <w:szCs w:val="20"/>
        </w:rPr>
      </w:pPr>
      <w:r>
        <w:rPr>
          <w:rFonts w:hint="eastAsia" w:ascii="Times New Roman" w:hAnsi="Times New Roman" w:eastAsia="宋体" w:cs="Times New Roman"/>
          <w:b/>
          <w:bCs/>
          <w:sz w:val="18"/>
          <w:szCs w:val="20"/>
        </w:rPr>
        <w:t>注：与上一实验不同，本实验不需要将图像长宽进行缩放。计算指标前，</w:t>
      </w:r>
    </w:p>
    <w:p w14:paraId="50DC6C1C">
      <w:pPr>
        <w:ind w:left="840" w:firstLine="542" w:firstLineChars="300"/>
        <w:rPr>
          <w:rFonts w:ascii="Times New Roman" w:hAnsi="Times New Roman" w:cs="Times New Roman"/>
        </w:rPr>
      </w:pPr>
      <w:r>
        <w:rPr>
          <w:rFonts w:hint="eastAsia" w:ascii="Times New Roman" w:hAnsi="Times New Roman" w:eastAsia="宋体" w:cs="Times New Roman"/>
          <w:b/>
          <w:bCs/>
          <w:sz w:val="18"/>
          <w:szCs w:val="20"/>
        </w:rPr>
        <w:t>请先将输入变量的数值范围调整到</w:t>
      </w:r>
      <w:r>
        <w:rPr>
          <w:rFonts w:ascii="Times New Roman" w:hAnsi="Times New Roman" w:eastAsia="宋体" w:cs="Times New Roman"/>
          <w:b/>
          <w:bCs/>
          <w:sz w:val="18"/>
          <w:szCs w:val="20"/>
        </w:rPr>
        <w:t>[0,255]</w:t>
      </w:r>
      <w:r>
        <w:rPr>
          <w:rFonts w:hint="eastAsia" w:ascii="Times New Roman" w:hAnsi="Times New Roman" w:eastAsia="宋体" w:cs="Times New Roman"/>
          <w:b/>
          <w:bCs/>
          <w:sz w:val="18"/>
          <w:szCs w:val="20"/>
        </w:rPr>
        <w:t>。</w:t>
      </w:r>
    </w:p>
    <w:p w14:paraId="2BCE9001">
      <w:pPr>
        <w:rPr>
          <w:rFonts w:ascii="Times New Roman" w:hAnsi="Times New Roman" w:cs="Times New Roman"/>
        </w:rPr>
      </w:pPr>
    </w:p>
    <w:p w14:paraId="3189355C">
      <w:pPr>
        <w:rPr>
          <w:rFonts w:ascii="Times New Roman" w:hAnsi="Times New Roman" w:cs="Times New Roman"/>
        </w:rPr>
      </w:pPr>
    </w:p>
    <w:p w14:paraId="1FC11ED4">
      <w:pPr>
        <w:rPr>
          <w:rFonts w:ascii="Times New Roman" w:hAnsi="Times New Roman" w:cs="Times New Roman"/>
        </w:rPr>
      </w:pPr>
    </w:p>
    <w:p w14:paraId="696C776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10350B"/>
    <w:rsid w:val="1F324047"/>
    <w:rsid w:val="2B103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523</Words>
  <Characters>781</Characters>
  <Lines>0</Lines>
  <Paragraphs>0</Paragraphs>
  <TotalTime>0</TotalTime>
  <ScaleCrop>false</ScaleCrop>
  <LinksUpToDate>false</LinksUpToDate>
  <CharactersWithSpaces>786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2025-05-21T07:34:00Z</dcterms:created>
  <dc:creator>今日上上签</dc:creator>
  <cp:lastModifiedBy>今日上上签</cp:lastModifiedBy>
  <dcterms:modified xsi:type="dcterms:W3CDTF">2026-03-06T14:21:04Z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EB2B174A12904A63A9CAD6A199672DA6_11</vt:lpwstr>
  </property>
  <property fmtid="{D5CDD505-2E9C-101B-9397-08002B2CF9AE}" pid="4" name="KSOTemplateDocerSaveRecord">
    <vt:lpwstr>eyJoZGlkIjoiZjkwYjJhZGQ0NWM1NWUzNjI5Njg2ZTdiMDM2OTQ0MWQiLCJ1c2VySWQiOiIyNDY4MTM4NTkifQ==</vt:lpwstr>
  </property>
</Properties>
</file>