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6600"/>
      </w:tblGrid>
      <w:tr w14:paraId="54B81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tcBorders>
              <w:bottom w:val="thinThickSmallGap" w:color="C00000" w:sz="24" w:space="0"/>
            </w:tcBorders>
            <w:noWrap w:val="0"/>
            <w:vAlign w:val="top"/>
          </w:tcPr>
          <w:p w14:paraId="07719B9B">
            <w:pPr>
              <w:jc w:val="center"/>
              <w:rPr>
                <w:rFonts w:ascii="楷体" w:hAnsi="楷体" w:eastAsia="楷体"/>
                <w:b/>
              </w:rPr>
            </w:pPr>
            <w:r>
              <w:rPr>
                <w:rFonts w:hint="eastAsia" w:ascii="楷体" w:hAnsi="楷体" w:eastAsia="楷体"/>
                <w:b/>
                <w:sz w:val="96"/>
              </w:rPr>
              <w:t>报告</w:t>
            </w:r>
          </w:p>
        </w:tc>
      </w:tr>
      <w:tr w14:paraId="222CB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8" w:hRule="atLeast"/>
        </w:trPr>
        <w:tc>
          <w:tcPr>
            <w:tcW w:w="8296" w:type="dxa"/>
            <w:gridSpan w:val="2"/>
            <w:tcBorders>
              <w:top w:val="thinThickSmallGap" w:color="C00000" w:sz="24" w:space="0"/>
            </w:tcBorders>
            <w:noWrap w:val="0"/>
            <w:vAlign w:val="center"/>
          </w:tcPr>
          <w:p w14:paraId="4C27F0EA">
            <w:pPr>
              <w:jc w:val="center"/>
            </w:pPr>
            <w:r>
              <w:rPr>
                <w:rFonts w:hint="eastAsia"/>
                <w:sz w:val="48"/>
              </w:rPr>
              <w:t>第  次</w:t>
            </w:r>
          </w:p>
        </w:tc>
      </w:tr>
      <w:tr w14:paraId="5A6C5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5F82AE8A">
            <w:pPr>
              <w:jc w:val="center"/>
            </w:pPr>
            <w:r>
              <w:drawing>
                <wp:inline distT="0" distB="0" distL="114300" distR="114300">
                  <wp:extent cx="2057400" cy="2050415"/>
                  <wp:effectExtent l="0" t="0" r="0" b="6985"/>
                  <wp:docPr id="1" name="图片 1" descr="图片包含 标牌&#10;&#10;已生成极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标牌&#10;&#10;已生成极高可信度的说明"/>
                          <pic:cNvPicPr>
                            <a:picLocks noChangeAspect="1"/>
                          </pic:cNvPicPr>
                        </pic:nvPicPr>
                        <pic:blipFill>
                          <a:blip r:embed="rId6"/>
                          <a:stretch>
                            <a:fillRect/>
                          </a:stretch>
                        </pic:blipFill>
                        <pic:spPr>
                          <a:xfrm>
                            <a:off x="0" y="0"/>
                            <a:ext cx="2057400" cy="2050415"/>
                          </a:xfrm>
                          <a:prstGeom prst="rect">
                            <a:avLst/>
                          </a:prstGeom>
                          <a:noFill/>
                          <a:ln>
                            <a:noFill/>
                          </a:ln>
                        </pic:spPr>
                      </pic:pic>
                    </a:graphicData>
                  </a:graphic>
                </wp:inline>
              </w:drawing>
            </w:r>
          </w:p>
        </w:tc>
      </w:tr>
      <w:tr w14:paraId="0D644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6168A5FC">
            <w:pPr>
              <w:jc w:val="center"/>
            </w:pPr>
          </w:p>
        </w:tc>
      </w:tr>
      <w:tr w14:paraId="70E79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26B9F9C1">
            <w:pPr>
              <w:jc w:val="center"/>
            </w:pPr>
          </w:p>
        </w:tc>
      </w:tr>
      <w:tr w14:paraId="6A157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2"/>
            <w:noWrap w:val="0"/>
            <w:vAlign w:val="top"/>
          </w:tcPr>
          <w:p w14:paraId="50EB7425">
            <w:pPr>
              <w:jc w:val="center"/>
            </w:pPr>
          </w:p>
        </w:tc>
      </w:tr>
      <w:tr w14:paraId="58FB1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632E6104">
            <w:pPr>
              <w:jc w:val="left"/>
              <w:rPr>
                <w:rFonts w:ascii="楷体" w:hAnsi="楷体" w:eastAsia="楷体"/>
                <w:b/>
                <w:sz w:val="40"/>
              </w:rPr>
            </w:pPr>
            <w:r>
              <w:rPr>
                <w:rFonts w:hint="eastAsia" w:ascii="楷体" w:hAnsi="楷体" w:eastAsia="楷体"/>
                <w:b/>
                <w:sz w:val="40"/>
              </w:rPr>
              <w:t>姓名</w:t>
            </w:r>
          </w:p>
        </w:tc>
        <w:tc>
          <w:tcPr>
            <w:tcW w:w="6600" w:type="dxa"/>
            <w:tcBorders>
              <w:bottom w:val="triple" w:color="C00000" w:sz="4" w:space="0"/>
            </w:tcBorders>
            <w:noWrap w:val="0"/>
            <w:vAlign w:val="center"/>
          </w:tcPr>
          <w:p w14:paraId="2DE62752">
            <w:pPr>
              <w:rPr>
                <w:rFonts w:ascii="楷体" w:hAnsi="楷体" w:eastAsia="楷体"/>
                <w:sz w:val="40"/>
                <w:szCs w:val="40"/>
              </w:rPr>
            </w:pPr>
            <w:bookmarkStart w:id="0" w:name="_GoBack"/>
            <w:bookmarkEnd w:id="0"/>
          </w:p>
        </w:tc>
      </w:tr>
      <w:tr w14:paraId="260A4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73BADD7F">
            <w:pPr>
              <w:jc w:val="left"/>
              <w:rPr>
                <w:rFonts w:ascii="楷体" w:hAnsi="楷体" w:eastAsia="楷体"/>
                <w:b/>
                <w:sz w:val="40"/>
              </w:rPr>
            </w:pPr>
            <w:r>
              <w:rPr>
                <w:rFonts w:hint="eastAsia" w:ascii="楷体" w:hAnsi="楷体" w:eastAsia="楷体"/>
                <w:b/>
                <w:sz w:val="40"/>
              </w:rPr>
              <w:t>班级</w:t>
            </w:r>
          </w:p>
        </w:tc>
        <w:tc>
          <w:tcPr>
            <w:tcW w:w="6600" w:type="dxa"/>
            <w:tcBorders>
              <w:top w:val="triple" w:color="C00000" w:sz="4" w:space="0"/>
              <w:bottom w:val="triple" w:color="C00000" w:sz="4" w:space="0"/>
            </w:tcBorders>
            <w:noWrap w:val="0"/>
            <w:vAlign w:val="center"/>
          </w:tcPr>
          <w:p w14:paraId="17451561">
            <w:pPr>
              <w:rPr>
                <w:rFonts w:ascii="楷体" w:hAnsi="楷体" w:eastAsia="楷体"/>
                <w:sz w:val="40"/>
                <w:szCs w:val="40"/>
              </w:rPr>
            </w:pPr>
          </w:p>
        </w:tc>
      </w:tr>
      <w:tr w14:paraId="2D3E0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297A771B">
            <w:pPr>
              <w:jc w:val="left"/>
              <w:rPr>
                <w:rFonts w:ascii="楷体" w:hAnsi="楷体" w:eastAsia="楷体"/>
                <w:b/>
                <w:sz w:val="40"/>
              </w:rPr>
            </w:pPr>
            <w:r>
              <w:rPr>
                <w:rFonts w:hint="eastAsia" w:ascii="楷体" w:hAnsi="楷体" w:eastAsia="楷体"/>
                <w:b/>
                <w:sz w:val="40"/>
              </w:rPr>
              <w:t>学号</w:t>
            </w:r>
          </w:p>
        </w:tc>
        <w:tc>
          <w:tcPr>
            <w:tcW w:w="6600" w:type="dxa"/>
            <w:tcBorders>
              <w:top w:val="triple" w:color="C00000" w:sz="4" w:space="0"/>
              <w:bottom w:val="triple" w:color="C00000" w:sz="4" w:space="0"/>
            </w:tcBorders>
            <w:noWrap w:val="0"/>
            <w:vAlign w:val="center"/>
          </w:tcPr>
          <w:p w14:paraId="33FBF1C3">
            <w:pPr>
              <w:rPr>
                <w:rFonts w:hint="default" w:ascii="楷体" w:hAnsi="楷体" w:eastAsia="楷体"/>
                <w:sz w:val="40"/>
                <w:szCs w:val="40"/>
                <w:lang w:val="en-US" w:eastAsia="zh-CN"/>
              </w:rPr>
            </w:pPr>
          </w:p>
        </w:tc>
      </w:tr>
      <w:tr w14:paraId="41751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2C7244DF">
            <w:pPr>
              <w:jc w:val="left"/>
              <w:rPr>
                <w:rFonts w:ascii="楷体" w:hAnsi="楷体" w:eastAsia="楷体"/>
                <w:b/>
                <w:sz w:val="40"/>
              </w:rPr>
            </w:pPr>
            <w:r>
              <w:rPr>
                <w:rFonts w:hint="eastAsia" w:ascii="楷体" w:hAnsi="楷体" w:eastAsia="楷体"/>
                <w:b/>
                <w:sz w:val="40"/>
              </w:rPr>
              <w:t>电话</w:t>
            </w:r>
          </w:p>
        </w:tc>
        <w:tc>
          <w:tcPr>
            <w:tcW w:w="6600" w:type="dxa"/>
            <w:tcBorders>
              <w:top w:val="triple" w:color="C00000" w:sz="4" w:space="0"/>
              <w:bottom w:val="triple" w:color="C00000" w:sz="4" w:space="0"/>
            </w:tcBorders>
            <w:noWrap w:val="0"/>
            <w:vAlign w:val="center"/>
          </w:tcPr>
          <w:p w14:paraId="49EAA70A">
            <w:pPr>
              <w:rPr>
                <w:rFonts w:hint="default" w:ascii="楷体" w:hAnsi="楷体" w:eastAsia="楷体"/>
                <w:sz w:val="40"/>
                <w:szCs w:val="40"/>
                <w:lang w:val="en-US" w:eastAsia="zh-CN"/>
              </w:rPr>
            </w:pPr>
          </w:p>
        </w:tc>
      </w:tr>
      <w:tr w14:paraId="77ABE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7D900356">
            <w:pPr>
              <w:jc w:val="left"/>
              <w:rPr>
                <w:rFonts w:ascii="Malgun Gothic" w:hAnsi="Malgun Gothic" w:eastAsia="Malgun Gothic"/>
                <w:b/>
                <w:sz w:val="40"/>
              </w:rPr>
            </w:pPr>
            <w:r>
              <w:rPr>
                <w:rFonts w:hint="eastAsia" w:ascii="Malgun Gothic" w:hAnsi="Malgun Gothic" w:eastAsia="Malgun Gothic"/>
                <w:b/>
                <w:sz w:val="40"/>
              </w:rPr>
              <w:t>Email</w:t>
            </w:r>
          </w:p>
        </w:tc>
        <w:tc>
          <w:tcPr>
            <w:tcW w:w="6600" w:type="dxa"/>
            <w:tcBorders>
              <w:top w:val="triple" w:color="C00000" w:sz="4" w:space="0"/>
              <w:bottom w:val="triple" w:color="C00000" w:sz="4" w:space="0"/>
            </w:tcBorders>
            <w:noWrap w:val="0"/>
            <w:vAlign w:val="center"/>
          </w:tcPr>
          <w:p w14:paraId="4E03A52A">
            <w:pPr>
              <w:rPr>
                <w:rFonts w:hint="default" w:ascii="楷体" w:hAnsi="楷体" w:eastAsia="楷体"/>
                <w:sz w:val="40"/>
                <w:szCs w:val="40"/>
                <w:lang w:val="en-US" w:eastAsia="zh-CN"/>
              </w:rPr>
            </w:pPr>
          </w:p>
        </w:tc>
      </w:tr>
      <w:tr w14:paraId="3A1CE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1696" w:type="dxa"/>
            <w:noWrap w:val="0"/>
            <w:vAlign w:val="center"/>
          </w:tcPr>
          <w:p w14:paraId="77CD4E46">
            <w:pPr>
              <w:jc w:val="left"/>
              <w:rPr>
                <w:rFonts w:ascii="楷体" w:hAnsi="楷体" w:eastAsia="楷体"/>
                <w:b/>
                <w:sz w:val="40"/>
              </w:rPr>
            </w:pPr>
            <w:r>
              <w:rPr>
                <w:rFonts w:hint="eastAsia" w:ascii="楷体" w:hAnsi="楷体" w:eastAsia="楷体"/>
                <w:b/>
                <w:sz w:val="40"/>
              </w:rPr>
              <w:t>日期</w:t>
            </w:r>
          </w:p>
        </w:tc>
        <w:tc>
          <w:tcPr>
            <w:tcW w:w="6600" w:type="dxa"/>
            <w:tcBorders>
              <w:top w:val="triple" w:color="C00000" w:sz="4" w:space="0"/>
              <w:bottom w:val="triple" w:color="C00000" w:sz="4" w:space="0"/>
            </w:tcBorders>
            <w:noWrap w:val="0"/>
            <w:vAlign w:val="center"/>
          </w:tcPr>
          <w:p w14:paraId="6F32F94B">
            <w:pPr>
              <w:rPr>
                <w:rFonts w:hint="default" w:ascii="楷体" w:hAnsi="楷体" w:eastAsia="楷体"/>
                <w:sz w:val="40"/>
                <w:szCs w:val="40"/>
                <w:lang w:val="en-US" w:eastAsia="zh-CN"/>
              </w:rPr>
            </w:pPr>
          </w:p>
        </w:tc>
      </w:tr>
    </w:tbl>
    <w:p w14:paraId="3E1EFEC5"/>
    <w:p w14:paraId="2D774288"/>
    <w:p w14:paraId="1D1345A7">
      <w:pPr>
        <w:widowControl/>
        <w:jc w:val="left"/>
        <w:sectPr>
          <w:headerReference r:id="rId3" w:type="default"/>
          <w:footerReference r:id="rId4" w:type="default"/>
          <w:pgSz w:w="11906" w:h="16838"/>
          <w:pgMar w:top="993" w:right="1800" w:bottom="1440" w:left="1800" w:header="851" w:footer="992" w:gutter="0"/>
          <w:cols w:space="720" w:num="1"/>
          <w:titlePg/>
          <w:docGrid w:type="lines" w:linePitch="312" w:charSpace="0"/>
        </w:sectPr>
      </w:pPr>
    </w:p>
    <w:p w14:paraId="2911C1A8">
      <w:pPr>
        <w:spacing w:before="156" w:beforeLines="50"/>
        <w:jc w:val="center"/>
        <w:rPr>
          <w:rFonts w:ascii="Times New Roman" w:hAnsi="Times New Roman" w:eastAsia="宋体" w:cs="Times New Roman"/>
          <w:b/>
          <w:bCs/>
        </w:rPr>
      </w:pPr>
      <w:r>
        <w:rPr>
          <w:rFonts w:ascii="Times New Roman" w:hAnsi="Times New Roman" w:eastAsia="宋体" w:cs="Times New Roman"/>
          <w:b/>
          <w:bCs/>
        </w:rPr>
        <w:t>表1 各种方法在不同</w:t>
      </w:r>
      <w:r>
        <w:rPr>
          <w:rFonts w:hint="eastAsia" w:ascii="Times New Roman" w:hAnsi="Times New Roman" w:eastAsia="宋体" w:cs="Times New Roman"/>
          <w:b/>
          <w:bCs/>
        </w:rPr>
        <w:t>图像</w:t>
      </w:r>
      <w:r>
        <w:rPr>
          <w:rFonts w:ascii="Times New Roman" w:hAnsi="Times New Roman" w:eastAsia="宋体" w:cs="Times New Roman"/>
          <w:b/>
          <w:bCs/>
        </w:rPr>
        <w:t>数据上的客观质量评价指标结果</w:t>
      </w:r>
    </w:p>
    <w:tbl>
      <w:tblPr>
        <w:tblStyle w:val="9"/>
        <w:tblW w:w="4998" w:type="pct"/>
        <w:tblInd w:w="0" w:type="dxa"/>
        <w:tblLayout w:type="autofit"/>
        <w:tblCellMar>
          <w:top w:w="0" w:type="dxa"/>
          <w:left w:w="108" w:type="dxa"/>
          <w:bottom w:w="0" w:type="dxa"/>
          <w:right w:w="108" w:type="dxa"/>
        </w:tblCellMar>
      </w:tblPr>
      <w:tblGrid>
        <w:gridCol w:w="1906"/>
        <w:gridCol w:w="1326"/>
        <w:gridCol w:w="1245"/>
        <w:gridCol w:w="1079"/>
        <w:gridCol w:w="1048"/>
        <w:gridCol w:w="1915"/>
      </w:tblGrid>
      <w:tr w14:paraId="6F017362">
        <w:tblPrEx>
          <w:tblCellMar>
            <w:top w:w="0" w:type="dxa"/>
            <w:left w:w="108" w:type="dxa"/>
            <w:bottom w:w="0" w:type="dxa"/>
            <w:right w:w="108" w:type="dxa"/>
          </w:tblCellMar>
        </w:tblPrEx>
        <w:trPr>
          <w:trHeight w:val="276" w:hRule="atLeast"/>
        </w:trPr>
        <w:tc>
          <w:tcPr>
            <w:tcW w:w="1118" w:type="pct"/>
            <w:tcBorders>
              <w:top w:val="single" w:color="auto" w:sz="18" w:space="0"/>
              <w:left w:val="single" w:color="auto" w:sz="18" w:space="0"/>
              <w:bottom w:val="nil"/>
              <w:right w:val="single" w:color="auto" w:sz="4" w:space="0"/>
            </w:tcBorders>
            <w:shd w:val="clear" w:color="auto" w:fill="auto"/>
            <w:noWrap/>
            <w:vAlign w:val="top"/>
          </w:tcPr>
          <w:p w14:paraId="136736B8">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Data</w:t>
            </w:r>
          </w:p>
        </w:tc>
        <w:tc>
          <w:tcPr>
            <w:tcW w:w="778" w:type="pct"/>
            <w:tcBorders>
              <w:top w:val="single" w:color="auto" w:sz="18" w:space="0"/>
              <w:left w:val="nil"/>
              <w:bottom w:val="nil"/>
              <w:right w:val="single" w:color="auto" w:sz="4" w:space="0"/>
            </w:tcBorders>
            <w:shd w:val="clear" w:color="auto" w:fill="auto"/>
            <w:noWrap/>
            <w:vAlign w:val="top"/>
          </w:tcPr>
          <w:p w14:paraId="79AADF85">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Met</w:t>
            </w:r>
            <w:r>
              <w:rPr>
                <w:rFonts w:hint="eastAsia" w:ascii="Times New Roman" w:hAnsi="Times New Roman" w:eastAsia="宋体" w:cs="Times New Roman"/>
                <w:b/>
                <w:bCs/>
                <w:color w:val="000000"/>
                <w:kern w:val="0"/>
                <w:sz w:val="22"/>
              </w:rPr>
              <w:t>r</w:t>
            </w:r>
            <w:r>
              <w:rPr>
                <w:rFonts w:ascii="Times New Roman" w:hAnsi="Times New Roman" w:eastAsia="宋体" w:cs="Times New Roman"/>
                <w:b/>
                <w:bCs/>
                <w:color w:val="000000"/>
                <w:kern w:val="0"/>
                <w:sz w:val="22"/>
              </w:rPr>
              <w:t>ic</w:t>
            </w:r>
          </w:p>
        </w:tc>
        <w:tc>
          <w:tcPr>
            <w:tcW w:w="730" w:type="pct"/>
            <w:tcBorders>
              <w:top w:val="single" w:color="auto" w:sz="18" w:space="0"/>
              <w:left w:val="nil"/>
              <w:bottom w:val="nil"/>
              <w:right w:val="single" w:color="auto" w:sz="4" w:space="0"/>
            </w:tcBorders>
            <w:shd w:val="clear" w:color="auto" w:fill="auto"/>
            <w:noWrap/>
            <w:vAlign w:val="top"/>
          </w:tcPr>
          <w:p w14:paraId="2B4DF7BD">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Original</w:t>
            </w:r>
          </w:p>
        </w:tc>
        <w:tc>
          <w:tcPr>
            <w:tcW w:w="633" w:type="pct"/>
            <w:tcBorders>
              <w:top w:val="single" w:color="auto" w:sz="18" w:space="0"/>
              <w:left w:val="nil"/>
              <w:bottom w:val="nil"/>
              <w:right w:val="single" w:color="auto" w:sz="4" w:space="0"/>
            </w:tcBorders>
            <w:shd w:val="clear" w:color="auto" w:fill="auto"/>
            <w:noWrap/>
            <w:vAlign w:val="top"/>
          </w:tcPr>
          <w:p w14:paraId="6925E267">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HistEq</w:t>
            </w:r>
          </w:p>
        </w:tc>
        <w:tc>
          <w:tcPr>
            <w:tcW w:w="615" w:type="pct"/>
            <w:tcBorders>
              <w:top w:val="single" w:color="auto" w:sz="18" w:space="0"/>
              <w:left w:val="nil"/>
              <w:bottom w:val="nil"/>
              <w:right w:val="single" w:color="auto" w:sz="4" w:space="0"/>
            </w:tcBorders>
            <w:shd w:val="clear" w:color="auto" w:fill="auto"/>
            <w:noWrap/>
            <w:vAlign w:val="top"/>
          </w:tcPr>
          <w:p w14:paraId="6D6B73F7">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HistSp</w:t>
            </w:r>
          </w:p>
        </w:tc>
        <w:tc>
          <w:tcPr>
            <w:tcW w:w="1123" w:type="pct"/>
            <w:tcBorders>
              <w:top w:val="single" w:color="auto" w:sz="18" w:space="0"/>
              <w:left w:val="nil"/>
              <w:bottom w:val="nil"/>
              <w:right w:val="single" w:color="auto" w:sz="18" w:space="0"/>
            </w:tcBorders>
            <w:shd w:val="clear" w:color="auto" w:fill="auto"/>
            <w:noWrap/>
            <w:vAlign w:val="top"/>
          </w:tcPr>
          <w:p w14:paraId="4E4CAFCF">
            <w:pPr>
              <w:widowControl/>
              <w:jc w:val="center"/>
              <w:rPr>
                <w:rFonts w:ascii="Times New Roman" w:hAnsi="Times New Roman" w:eastAsia="宋体" w:cs="Times New Roman"/>
                <w:b/>
                <w:bCs/>
                <w:color w:val="000000"/>
                <w:kern w:val="0"/>
                <w:sz w:val="22"/>
              </w:rPr>
            </w:pPr>
            <w:r>
              <w:rPr>
                <w:rFonts w:ascii="Times New Roman" w:hAnsi="Times New Roman" w:eastAsia="宋体" w:cs="Times New Roman"/>
                <w:b/>
                <w:bCs/>
                <w:color w:val="000000"/>
                <w:kern w:val="0"/>
                <w:sz w:val="22"/>
              </w:rPr>
              <w:t>Dark Channel</w:t>
            </w:r>
          </w:p>
        </w:tc>
      </w:tr>
      <w:tr w14:paraId="4D59DDD8">
        <w:tblPrEx>
          <w:tblCellMar>
            <w:top w:w="0" w:type="dxa"/>
            <w:left w:w="108" w:type="dxa"/>
            <w:bottom w:w="0" w:type="dxa"/>
            <w:right w:w="108" w:type="dxa"/>
          </w:tblCellMar>
        </w:tblPrEx>
        <w:trPr>
          <w:trHeight w:val="276" w:hRule="atLeast"/>
        </w:trPr>
        <w:tc>
          <w:tcPr>
            <w:tcW w:w="1118" w:type="pct"/>
            <w:vMerge w:val="restart"/>
            <w:tcBorders>
              <w:top w:val="nil"/>
              <w:left w:val="single" w:color="auto" w:sz="18" w:space="0"/>
              <w:bottom w:val="nil"/>
              <w:right w:val="single" w:color="auto" w:sz="4" w:space="0"/>
            </w:tcBorders>
            <w:shd w:val="clear" w:color="auto" w:fill="auto"/>
            <w:noWrap/>
            <w:vAlign w:val="top"/>
          </w:tcPr>
          <w:p w14:paraId="385CBD93">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Forest</w:t>
            </w:r>
          </w:p>
          <w:p w14:paraId="25B478FB">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nil"/>
              <w:left w:val="nil"/>
              <w:bottom w:val="nil"/>
              <w:right w:val="single" w:color="auto" w:sz="4" w:space="0"/>
            </w:tcBorders>
            <w:shd w:val="clear" w:color="auto" w:fill="auto"/>
            <w:noWrap/>
            <w:vAlign w:val="top"/>
          </w:tcPr>
          <w:p w14:paraId="1791EAC3">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nil"/>
              <w:left w:val="nil"/>
              <w:bottom w:val="nil"/>
              <w:right w:val="single" w:color="auto" w:sz="4" w:space="0"/>
            </w:tcBorders>
            <w:shd w:val="clear" w:color="auto" w:fill="auto"/>
            <w:noWrap/>
            <w:vAlign w:val="top"/>
          </w:tcPr>
          <w:p w14:paraId="53E7E972">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35.890</w:t>
            </w:r>
          </w:p>
        </w:tc>
        <w:tc>
          <w:tcPr>
            <w:tcW w:w="633" w:type="pct"/>
            <w:tcBorders>
              <w:top w:val="nil"/>
              <w:left w:val="nil"/>
              <w:bottom w:val="nil"/>
              <w:right w:val="single" w:color="auto" w:sz="4" w:space="0"/>
            </w:tcBorders>
            <w:shd w:val="clear" w:color="auto" w:fill="auto"/>
            <w:noWrap/>
            <w:vAlign w:val="top"/>
          </w:tcPr>
          <w:p w14:paraId="02F39382">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67.829</w:t>
            </w:r>
          </w:p>
        </w:tc>
        <w:tc>
          <w:tcPr>
            <w:tcW w:w="615" w:type="pct"/>
            <w:tcBorders>
              <w:top w:val="nil"/>
              <w:left w:val="nil"/>
              <w:bottom w:val="nil"/>
              <w:right w:val="single" w:color="auto" w:sz="4" w:space="0"/>
            </w:tcBorders>
            <w:shd w:val="clear" w:color="auto" w:fill="auto"/>
            <w:noWrap/>
            <w:vAlign w:val="top"/>
          </w:tcPr>
          <w:p w14:paraId="556E9494">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27.133</w:t>
            </w:r>
          </w:p>
        </w:tc>
        <w:tc>
          <w:tcPr>
            <w:tcW w:w="1123" w:type="pct"/>
            <w:tcBorders>
              <w:top w:val="nil"/>
              <w:left w:val="nil"/>
              <w:bottom w:val="nil"/>
              <w:right w:val="single" w:color="auto" w:sz="18" w:space="0"/>
            </w:tcBorders>
            <w:shd w:val="clear" w:color="auto" w:fill="auto"/>
            <w:noWrap/>
            <w:vAlign w:val="top"/>
          </w:tcPr>
          <w:p w14:paraId="0E46CE02">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bCs/>
                <w:color w:val="000000"/>
                <w:sz w:val="22"/>
              </w:rPr>
              <w:t>18.709</w:t>
            </w:r>
          </w:p>
        </w:tc>
      </w:tr>
      <w:tr w14:paraId="41A7B1D4">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0BA08D60">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295C508D">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single" w:color="auto" w:sz="4" w:space="0"/>
            </w:tcBorders>
            <w:shd w:val="clear" w:color="auto" w:fill="auto"/>
            <w:noWrap/>
            <w:vAlign w:val="top"/>
          </w:tcPr>
          <w:p w14:paraId="558AFF4C">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17.03</w:t>
            </w:r>
          </w:p>
        </w:tc>
        <w:tc>
          <w:tcPr>
            <w:tcW w:w="633" w:type="pct"/>
            <w:tcBorders>
              <w:top w:val="nil"/>
              <w:left w:val="nil"/>
              <w:bottom w:val="nil"/>
              <w:right w:val="single" w:color="auto" w:sz="4" w:space="0"/>
            </w:tcBorders>
            <w:shd w:val="clear" w:color="auto" w:fill="auto"/>
            <w:noWrap/>
            <w:vAlign w:val="top"/>
          </w:tcPr>
          <w:p w14:paraId="5070EACA">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b/>
                <w:bCs/>
                <w:color w:val="000000"/>
                <w:sz w:val="22"/>
              </w:rPr>
              <w:t>11.50</w:t>
            </w:r>
          </w:p>
        </w:tc>
        <w:tc>
          <w:tcPr>
            <w:tcW w:w="615" w:type="pct"/>
            <w:tcBorders>
              <w:top w:val="nil"/>
              <w:left w:val="nil"/>
              <w:bottom w:val="nil"/>
              <w:right w:val="single" w:color="auto" w:sz="4" w:space="0"/>
            </w:tcBorders>
            <w:shd w:val="clear" w:color="auto" w:fill="auto"/>
            <w:noWrap/>
            <w:vAlign w:val="top"/>
          </w:tcPr>
          <w:p w14:paraId="16EC1B9B">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19.46</w:t>
            </w:r>
          </w:p>
        </w:tc>
        <w:tc>
          <w:tcPr>
            <w:tcW w:w="1123" w:type="pct"/>
            <w:tcBorders>
              <w:top w:val="nil"/>
              <w:left w:val="nil"/>
              <w:bottom w:val="nil"/>
              <w:right w:val="single" w:color="auto" w:sz="18" w:space="0"/>
            </w:tcBorders>
            <w:shd w:val="clear" w:color="auto" w:fill="auto"/>
            <w:noWrap/>
            <w:vAlign w:val="top"/>
          </w:tcPr>
          <w:p w14:paraId="7AEBC313">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val="0"/>
                <w:bCs w:val="0"/>
                <w:color w:val="000000"/>
                <w:sz w:val="22"/>
              </w:rPr>
              <w:t>22.69</w:t>
            </w:r>
          </w:p>
        </w:tc>
      </w:tr>
      <w:tr w14:paraId="4F8CFA98">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595DEAA8">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0300044E">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single" w:color="auto" w:sz="4" w:space="0"/>
            </w:tcBorders>
            <w:shd w:val="clear" w:color="auto" w:fill="auto"/>
            <w:noWrap/>
            <w:vAlign w:val="top"/>
          </w:tcPr>
          <w:p w14:paraId="32B1CC93">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0.903</w:t>
            </w:r>
          </w:p>
        </w:tc>
        <w:tc>
          <w:tcPr>
            <w:tcW w:w="633" w:type="pct"/>
            <w:tcBorders>
              <w:top w:val="nil"/>
              <w:left w:val="nil"/>
              <w:bottom w:val="nil"/>
              <w:right w:val="single" w:color="auto" w:sz="4" w:space="0"/>
            </w:tcBorders>
            <w:shd w:val="clear" w:color="auto" w:fill="auto"/>
            <w:noWrap/>
            <w:vAlign w:val="top"/>
          </w:tcPr>
          <w:p w14:paraId="6A01EBA2">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b/>
                <w:bCs/>
                <w:color w:val="000000"/>
                <w:sz w:val="22"/>
              </w:rPr>
              <w:t>0.667</w:t>
            </w:r>
          </w:p>
        </w:tc>
        <w:tc>
          <w:tcPr>
            <w:tcW w:w="615" w:type="pct"/>
            <w:tcBorders>
              <w:top w:val="nil"/>
              <w:left w:val="nil"/>
              <w:bottom w:val="nil"/>
              <w:right w:val="single" w:color="auto" w:sz="4" w:space="0"/>
            </w:tcBorders>
            <w:shd w:val="clear" w:color="auto" w:fill="auto"/>
            <w:noWrap/>
            <w:vAlign w:val="top"/>
          </w:tcPr>
          <w:p w14:paraId="66B99A96">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0.915</w:t>
            </w:r>
          </w:p>
        </w:tc>
        <w:tc>
          <w:tcPr>
            <w:tcW w:w="1123" w:type="pct"/>
            <w:tcBorders>
              <w:top w:val="nil"/>
              <w:left w:val="nil"/>
              <w:bottom w:val="nil"/>
              <w:right w:val="single" w:color="auto" w:sz="18" w:space="0"/>
            </w:tcBorders>
            <w:shd w:val="clear" w:color="auto" w:fill="auto"/>
            <w:noWrap/>
            <w:vAlign w:val="top"/>
          </w:tcPr>
          <w:p w14:paraId="796C6C8B">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val="0"/>
                <w:bCs w:val="0"/>
                <w:color w:val="000000"/>
                <w:sz w:val="22"/>
              </w:rPr>
              <w:t>0.944</w:t>
            </w:r>
          </w:p>
        </w:tc>
      </w:tr>
      <w:tr w14:paraId="57E8074B">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single" w:color="auto" w:sz="4" w:space="0"/>
            </w:tcBorders>
            <w:vAlign w:val="top"/>
          </w:tcPr>
          <w:p w14:paraId="6E767AD9">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single" w:color="auto" w:sz="4" w:space="0"/>
            </w:tcBorders>
            <w:shd w:val="clear" w:color="auto" w:fill="auto"/>
            <w:noWrap/>
            <w:vAlign w:val="top"/>
          </w:tcPr>
          <w:p w14:paraId="5253CAAC">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single" w:color="auto" w:sz="4" w:space="0"/>
            </w:tcBorders>
            <w:shd w:val="clear" w:color="auto" w:fill="auto"/>
            <w:noWrap/>
            <w:vAlign w:val="top"/>
          </w:tcPr>
          <w:p w14:paraId="7392FB6D">
            <w:pPr>
              <w:widowControl/>
              <w:jc w:val="center"/>
              <w:rPr>
                <w:rFonts w:ascii="Times New Roman" w:hAnsi="Times New Roman" w:eastAsia="宋体" w:cs="Times New Roman"/>
                <w:color w:val="000000"/>
                <w:kern w:val="0"/>
                <w:sz w:val="22"/>
              </w:rPr>
            </w:pPr>
            <w:r>
              <w:rPr>
                <w:rFonts w:ascii="Times New Roman" w:hAnsi="Times New Roman" w:eastAsia="等线" w:cs="Times New Roman"/>
                <w:color w:val="000000"/>
                <w:sz w:val="22"/>
              </w:rPr>
              <w:t>-</w:t>
            </w:r>
          </w:p>
        </w:tc>
        <w:tc>
          <w:tcPr>
            <w:tcW w:w="633" w:type="pct"/>
            <w:tcBorders>
              <w:top w:val="nil"/>
              <w:left w:val="nil"/>
              <w:bottom w:val="single" w:color="auto" w:sz="18" w:space="0"/>
              <w:right w:val="single" w:color="auto" w:sz="4" w:space="0"/>
            </w:tcBorders>
            <w:shd w:val="clear" w:color="auto" w:fill="auto"/>
            <w:noWrap/>
            <w:vAlign w:val="top"/>
          </w:tcPr>
          <w:p w14:paraId="68C487B8">
            <w:pPr>
              <w:widowControl/>
              <w:jc w:val="center"/>
              <w:rPr>
                <w:rFonts w:ascii="Times New Roman" w:hAnsi="Times New Roman" w:eastAsia="宋体" w:cs="Times New Roman"/>
                <w:b/>
                <w:bCs/>
                <w:color w:val="000000"/>
                <w:kern w:val="0"/>
                <w:sz w:val="22"/>
                <w:highlight w:val="yellow"/>
              </w:rPr>
            </w:pPr>
            <w:r>
              <w:rPr>
                <w:rFonts w:ascii="Times New Roman" w:hAnsi="Times New Roman" w:eastAsia="等线" w:cs="Times New Roman"/>
                <w:b/>
                <w:bCs/>
                <w:color w:val="000000"/>
                <w:sz w:val="22"/>
              </w:rPr>
              <w:t>0.039</w:t>
            </w:r>
          </w:p>
        </w:tc>
        <w:tc>
          <w:tcPr>
            <w:tcW w:w="615" w:type="pct"/>
            <w:tcBorders>
              <w:top w:val="nil"/>
              <w:left w:val="nil"/>
              <w:bottom w:val="single" w:color="auto" w:sz="18" w:space="0"/>
              <w:right w:val="single" w:color="auto" w:sz="4" w:space="0"/>
            </w:tcBorders>
            <w:shd w:val="clear" w:color="auto" w:fill="auto"/>
            <w:noWrap/>
            <w:vAlign w:val="top"/>
          </w:tcPr>
          <w:p w14:paraId="56979940">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b/>
                <w:bCs/>
                <w:color w:val="000000"/>
                <w:sz w:val="22"/>
              </w:rPr>
              <w:t>0.041</w:t>
            </w:r>
          </w:p>
        </w:tc>
        <w:tc>
          <w:tcPr>
            <w:tcW w:w="1123" w:type="pct"/>
            <w:tcBorders>
              <w:top w:val="nil"/>
              <w:left w:val="nil"/>
              <w:bottom w:val="single" w:color="auto" w:sz="18" w:space="0"/>
              <w:right w:val="single" w:color="auto" w:sz="18" w:space="0"/>
            </w:tcBorders>
            <w:shd w:val="clear" w:color="auto" w:fill="auto"/>
            <w:noWrap/>
            <w:vAlign w:val="top"/>
          </w:tcPr>
          <w:p w14:paraId="10DF0C50">
            <w:pPr>
              <w:widowControl/>
              <w:jc w:val="center"/>
              <w:rPr>
                <w:rFonts w:ascii="Times New Roman" w:hAnsi="Times New Roman" w:eastAsia="宋体" w:cs="Times New Roman"/>
                <w:color w:val="000000"/>
                <w:kern w:val="0"/>
                <w:sz w:val="22"/>
                <w:highlight w:val="yellow"/>
              </w:rPr>
            </w:pPr>
            <w:r>
              <w:rPr>
                <w:rFonts w:ascii="Times New Roman" w:hAnsi="Times New Roman" w:eastAsia="等线" w:cs="Times New Roman"/>
                <w:color w:val="000000"/>
                <w:sz w:val="22"/>
              </w:rPr>
              <w:t>7.959</w:t>
            </w:r>
          </w:p>
        </w:tc>
      </w:tr>
      <w:tr w14:paraId="0B2F597B">
        <w:tblPrEx>
          <w:tblCellMar>
            <w:top w:w="0" w:type="dxa"/>
            <w:left w:w="108" w:type="dxa"/>
            <w:bottom w:w="0" w:type="dxa"/>
            <w:right w:w="108" w:type="dxa"/>
          </w:tblCellMar>
        </w:tblPrEx>
        <w:trPr>
          <w:trHeight w:val="276" w:hRule="atLeast"/>
        </w:trPr>
        <w:tc>
          <w:tcPr>
            <w:tcW w:w="1118" w:type="pct"/>
            <w:vMerge w:val="restart"/>
            <w:tcBorders>
              <w:top w:val="single" w:color="auto" w:sz="18" w:space="0"/>
              <w:left w:val="single" w:color="auto" w:sz="18" w:space="0"/>
              <w:bottom w:val="nil"/>
              <w:right w:val="nil"/>
            </w:tcBorders>
            <w:shd w:val="clear" w:color="auto" w:fill="auto"/>
            <w:noWrap/>
            <w:vAlign w:val="top"/>
          </w:tcPr>
          <w:p w14:paraId="5FF36321">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NH50</w:t>
            </w:r>
          </w:p>
          <w:p w14:paraId="7B6CA4DB">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single" w:color="auto" w:sz="18" w:space="0"/>
              <w:left w:val="nil"/>
              <w:bottom w:val="nil"/>
              <w:right w:val="nil"/>
            </w:tcBorders>
            <w:shd w:val="clear" w:color="auto" w:fill="auto"/>
            <w:noWrap/>
            <w:vAlign w:val="top"/>
          </w:tcPr>
          <w:p w14:paraId="11FD52E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single" w:color="auto" w:sz="18" w:space="0"/>
              <w:left w:val="nil"/>
              <w:bottom w:val="nil"/>
              <w:right w:val="nil"/>
            </w:tcBorders>
            <w:shd w:val="clear" w:color="auto" w:fill="auto"/>
            <w:noWrap/>
            <w:vAlign w:val="top"/>
          </w:tcPr>
          <w:p w14:paraId="3E615C2D">
            <w:pPr>
              <w:widowControl/>
              <w:jc w:val="center"/>
              <w:rPr>
                <w:rFonts w:hint="default" w:ascii="Times New Roman" w:hAnsi="Times New Roman" w:eastAsia="宋体" w:cs="Times New Roman"/>
                <w:color w:val="000000"/>
                <w:kern w:val="0"/>
                <w:sz w:val="22"/>
                <w:lang w:val="en-US" w:eastAsia="zh-CN"/>
              </w:rPr>
            </w:pPr>
            <w:r>
              <w:rPr>
                <w:rFonts w:hint="eastAsia" w:ascii="Times New Roman" w:hAnsi="Times New Roman" w:eastAsia="宋体" w:cs="Times New Roman"/>
                <w:color w:val="000000"/>
                <w:kern w:val="0"/>
                <w:sz w:val="22"/>
                <w:lang w:val="en-US" w:eastAsia="zh-CN"/>
              </w:rPr>
              <w:t>58.472</w:t>
            </w:r>
          </w:p>
        </w:tc>
        <w:tc>
          <w:tcPr>
            <w:tcW w:w="633" w:type="pct"/>
            <w:tcBorders>
              <w:top w:val="single" w:color="auto" w:sz="18" w:space="0"/>
              <w:left w:val="nil"/>
              <w:bottom w:val="nil"/>
              <w:right w:val="nil"/>
            </w:tcBorders>
            <w:shd w:val="clear" w:color="auto" w:fill="auto"/>
            <w:noWrap/>
            <w:vAlign w:val="top"/>
          </w:tcPr>
          <w:p w14:paraId="381A0D6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74.686</w:t>
            </w:r>
          </w:p>
        </w:tc>
        <w:tc>
          <w:tcPr>
            <w:tcW w:w="615" w:type="pct"/>
            <w:tcBorders>
              <w:top w:val="single" w:color="auto" w:sz="18" w:space="0"/>
              <w:left w:val="nil"/>
              <w:bottom w:val="nil"/>
              <w:right w:val="nil"/>
            </w:tcBorders>
            <w:shd w:val="clear" w:color="auto" w:fill="auto"/>
            <w:noWrap/>
            <w:vAlign w:val="top"/>
          </w:tcPr>
          <w:p w14:paraId="5A810733">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57.931</w:t>
            </w:r>
          </w:p>
        </w:tc>
        <w:tc>
          <w:tcPr>
            <w:tcW w:w="1123" w:type="pct"/>
            <w:tcBorders>
              <w:top w:val="single" w:color="auto" w:sz="18" w:space="0"/>
              <w:left w:val="nil"/>
              <w:bottom w:val="nil"/>
              <w:right w:val="single" w:color="auto" w:sz="18" w:space="0"/>
            </w:tcBorders>
            <w:shd w:val="clear" w:color="auto" w:fill="auto"/>
            <w:noWrap/>
            <w:vAlign w:val="top"/>
          </w:tcPr>
          <w:p w14:paraId="22FE271D">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55.550</w:t>
            </w:r>
          </w:p>
        </w:tc>
      </w:tr>
      <w:tr w14:paraId="33745648">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nil"/>
            </w:tcBorders>
            <w:vAlign w:val="top"/>
          </w:tcPr>
          <w:p w14:paraId="32888446">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nil"/>
            </w:tcBorders>
            <w:shd w:val="clear" w:color="auto" w:fill="auto"/>
            <w:noWrap/>
            <w:vAlign w:val="top"/>
          </w:tcPr>
          <w:p w14:paraId="3A473AEF">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nil"/>
            </w:tcBorders>
            <w:shd w:val="clear" w:color="auto" w:fill="auto"/>
            <w:noWrap/>
            <w:vAlign w:val="top"/>
          </w:tcPr>
          <w:p w14:paraId="59ACC3EE">
            <w:pPr>
              <w:widowControl/>
              <w:jc w:val="center"/>
              <w:rPr>
                <w:rFonts w:hint="default" w:ascii="Times New Roman" w:hAnsi="Times New Roman" w:eastAsia="宋体" w:cs="Times New Roman"/>
                <w:color w:val="000000"/>
                <w:kern w:val="0"/>
                <w:sz w:val="22"/>
                <w:lang w:val="en-US" w:eastAsia="zh-CN"/>
              </w:rPr>
            </w:pPr>
            <w:r>
              <w:rPr>
                <w:rFonts w:hint="eastAsia" w:ascii="Times New Roman" w:hAnsi="Times New Roman" w:eastAsia="宋体" w:cs="Times New Roman"/>
                <w:color w:val="000000"/>
                <w:kern w:val="0"/>
                <w:sz w:val="22"/>
                <w:lang w:val="en-US" w:eastAsia="zh-CN"/>
              </w:rPr>
              <w:t>12.79</w:t>
            </w:r>
          </w:p>
        </w:tc>
        <w:tc>
          <w:tcPr>
            <w:tcW w:w="633" w:type="pct"/>
            <w:tcBorders>
              <w:top w:val="nil"/>
              <w:left w:val="nil"/>
              <w:bottom w:val="nil"/>
              <w:right w:val="nil"/>
            </w:tcBorders>
            <w:shd w:val="clear" w:color="auto" w:fill="auto"/>
            <w:noWrap/>
            <w:vAlign w:val="top"/>
          </w:tcPr>
          <w:p w14:paraId="53E56AE2">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10.67</w:t>
            </w:r>
          </w:p>
        </w:tc>
        <w:tc>
          <w:tcPr>
            <w:tcW w:w="615" w:type="pct"/>
            <w:tcBorders>
              <w:top w:val="nil"/>
              <w:left w:val="nil"/>
              <w:bottom w:val="nil"/>
              <w:right w:val="nil"/>
            </w:tcBorders>
            <w:shd w:val="clear" w:color="auto" w:fill="auto"/>
            <w:noWrap/>
            <w:vAlign w:val="top"/>
          </w:tcPr>
          <w:p w14:paraId="23424FBF">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12.87</w:t>
            </w:r>
          </w:p>
        </w:tc>
        <w:tc>
          <w:tcPr>
            <w:tcW w:w="1123" w:type="pct"/>
            <w:tcBorders>
              <w:top w:val="nil"/>
              <w:left w:val="nil"/>
              <w:bottom w:val="nil"/>
              <w:right w:val="single" w:color="auto" w:sz="18" w:space="0"/>
            </w:tcBorders>
            <w:shd w:val="clear" w:color="auto" w:fill="auto"/>
            <w:noWrap/>
            <w:vAlign w:val="top"/>
          </w:tcPr>
          <w:p w14:paraId="41FA1E9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13.24</w:t>
            </w:r>
          </w:p>
        </w:tc>
      </w:tr>
      <w:tr w14:paraId="19429DFF">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nil"/>
            </w:tcBorders>
            <w:vAlign w:val="top"/>
          </w:tcPr>
          <w:p w14:paraId="111ED051">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nil"/>
            </w:tcBorders>
            <w:shd w:val="clear" w:color="auto" w:fill="auto"/>
            <w:noWrap/>
            <w:vAlign w:val="top"/>
          </w:tcPr>
          <w:p w14:paraId="662A63D4">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nil"/>
            </w:tcBorders>
            <w:shd w:val="clear" w:color="auto" w:fill="auto"/>
            <w:noWrap/>
            <w:vAlign w:val="top"/>
          </w:tcPr>
          <w:p w14:paraId="0344A2E5">
            <w:pPr>
              <w:widowControl/>
              <w:jc w:val="center"/>
              <w:rPr>
                <w:rFonts w:hint="default" w:ascii="Times New Roman" w:hAnsi="Times New Roman" w:eastAsia="宋体" w:cs="Times New Roman"/>
                <w:color w:val="000000"/>
                <w:kern w:val="0"/>
                <w:sz w:val="22"/>
                <w:lang w:val="en-US" w:eastAsia="zh-CN"/>
              </w:rPr>
            </w:pPr>
            <w:r>
              <w:rPr>
                <w:rFonts w:hint="eastAsia" w:ascii="Times New Roman" w:hAnsi="Times New Roman" w:eastAsia="宋体" w:cs="Times New Roman"/>
                <w:color w:val="000000"/>
                <w:kern w:val="0"/>
                <w:sz w:val="22"/>
                <w:lang w:val="en-US" w:eastAsia="zh-CN"/>
              </w:rPr>
              <w:t>0.405</w:t>
            </w:r>
          </w:p>
        </w:tc>
        <w:tc>
          <w:tcPr>
            <w:tcW w:w="633" w:type="pct"/>
            <w:tcBorders>
              <w:top w:val="nil"/>
              <w:left w:val="nil"/>
              <w:bottom w:val="nil"/>
              <w:right w:val="nil"/>
            </w:tcBorders>
            <w:shd w:val="clear" w:color="auto" w:fill="auto"/>
            <w:noWrap/>
            <w:vAlign w:val="top"/>
          </w:tcPr>
          <w:p w14:paraId="7B29EDB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0.523</w:t>
            </w:r>
          </w:p>
        </w:tc>
        <w:tc>
          <w:tcPr>
            <w:tcW w:w="615" w:type="pct"/>
            <w:tcBorders>
              <w:top w:val="nil"/>
              <w:left w:val="nil"/>
              <w:bottom w:val="nil"/>
              <w:right w:val="nil"/>
            </w:tcBorders>
            <w:shd w:val="clear" w:color="auto" w:fill="auto"/>
            <w:noWrap/>
            <w:vAlign w:val="top"/>
          </w:tcPr>
          <w:p w14:paraId="1291DDC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0.457</w:t>
            </w:r>
          </w:p>
        </w:tc>
        <w:tc>
          <w:tcPr>
            <w:tcW w:w="1123" w:type="pct"/>
            <w:tcBorders>
              <w:top w:val="nil"/>
              <w:left w:val="nil"/>
              <w:bottom w:val="nil"/>
              <w:right w:val="single" w:color="auto" w:sz="18" w:space="0"/>
            </w:tcBorders>
            <w:shd w:val="clear" w:color="auto" w:fill="auto"/>
            <w:noWrap/>
            <w:vAlign w:val="top"/>
          </w:tcPr>
          <w:p w14:paraId="00F6DB2A">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0.406</w:t>
            </w:r>
          </w:p>
        </w:tc>
      </w:tr>
      <w:tr w14:paraId="42A00F13">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nil"/>
            </w:tcBorders>
            <w:vAlign w:val="top"/>
          </w:tcPr>
          <w:p w14:paraId="2BB3FAE8">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nil"/>
            </w:tcBorders>
            <w:shd w:val="clear" w:color="auto" w:fill="auto"/>
            <w:noWrap/>
            <w:vAlign w:val="top"/>
          </w:tcPr>
          <w:p w14:paraId="32AD6F4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nil"/>
            </w:tcBorders>
            <w:shd w:val="clear" w:color="auto" w:fill="auto"/>
            <w:noWrap/>
            <w:vAlign w:val="top"/>
          </w:tcPr>
          <w:p w14:paraId="4292186C">
            <w:pPr>
              <w:widowControl/>
              <w:jc w:val="center"/>
              <w:rPr>
                <w:rFonts w:ascii="Times New Roman" w:hAnsi="Times New Roman" w:eastAsia="宋体" w:cs="Times New Roman"/>
                <w:color w:val="000000"/>
                <w:kern w:val="0"/>
                <w:sz w:val="22"/>
              </w:rPr>
            </w:pPr>
          </w:p>
        </w:tc>
        <w:tc>
          <w:tcPr>
            <w:tcW w:w="633" w:type="pct"/>
            <w:tcBorders>
              <w:top w:val="nil"/>
              <w:left w:val="nil"/>
              <w:bottom w:val="single" w:color="auto" w:sz="18" w:space="0"/>
              <w:right w:val="nil"/>
            </w:tcBorders>
            <w:shd w:val="clear" w:color="auto" w:fill="auto"/>
            <w:noWrap/>
            <w:vAlign w:val="top"/>
          </w:tcPr>
          <w:p w14:paraId="79BFB678">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0.003 s</w:t>
            </w:r>
          </w:p>
        </w:tc>
        <w:tc>
          <w:tcPr>
            <w:tcW w:w="615" w:type="pct"/>
            <w:tcBorders>
              <w:top w:val="nil"/>
              <w:left w:val="nil"/>
              <w:bottom w:val="single" w:color="auto" w:sz="18" w:space="0"/>
              <w:right w:val="nil"/>
            </w:tcBorders>
            <w:shd w:val="clear" w:color="auto" w:fill="auto"/>
            <w:noWrap/>
            <w:vAlign w:val="top"/>
          </w:tcPr>
          <w:p w14:paraId="4AC809D6">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0.005 s</w:t>
            </w:r>
          </w:p>
        </w:tc>
        <w:tc>
          <w:tcPr>
            <w:tcW w:w="1123" w:type="pct"/>
            <w:tcBorders>
              <w:top w:val="nil"/>
              <w:left w:val="nil"/>
              <w:bottom w:val="single" w:color="auto" w:sz="18" w:space="0"/>
              <w:right w:val="single" w:color="auto" w:sz="18" w:space="0"/>
            </w:tcBorders>
            <w:shd w:val="clear" w:color="auto" w:fill="auto"/>
            <w:noWrap/>
            <w:vAlign w:val="top"/>
          </w:tcPr>
          <w:p w14:paraId="772E347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11.744 s</w:t>
            </w:r>
          </w:p>
        </w:tc>
      </w:tr>
      <w:tr w14:paraId="36368822">
        <w:tblPrEx>
          <w:tblCellMar>
            <w:top w:w="0" w:type="dxa"/>
            <w:left w:w="108" w:type="dxa"/>
            <w:bottom w:w="0" w:type="dxa"/>
            <w:right w:w="108" w:type="dxa"/>
          </w:tblCellMar>
        </w:tblPrEx>
        <w:trPr>
          <w:trHeight w:val="276" w:hRule="atLeast"/>
        </w:trPr>
        <w:tc>
          <w:tcPr>
            <w:tcW w:w="1118" w:type="pct"/>
            <w:vMerge w:val="restart"/>
            <w:tcBorders>
              <w:top w:val="single" w:color="auto" w:sz="18" w:space="0"/>
              <w:left w:val="single" w:color="auto" w:sz="18" w:space="0"/>
              <w:bottom w:val="nil"/>
              <w:right w:val="single" w:color="auto" w:sz="4" w:space="0"/>
            </w:tcBorders>
            <w:shd w:val="clear" w:color="auto" w:fill="auto"/>
            <w:noWrap/>
            <w:vAlign w:val="top"/>
          </w:tcPr>
          <w:p w14:paraId="2D4E6A4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NH46</w:t>
            </w:r>
          </w:p>
          <w:p w14:paraId="116F3554">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single" w:color="auto" w:sz="18" w:space="0"/>
              <w:left w:val="nil"/>
              <w:bottom w:val="nil"/>
              <w:right w:val="single" w:color="auto" w:sz="4" w:space="0"/>
            </w:tcBorders>
            <w:shd w:val="clear" w:color="auto" w:fill="auto"/>
            <w:noWrap/>
            <w:vAlign w:val="top"/>
          </w:tcPr>
          <w:p w14:paraId="725DA0CB">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single" w:color="auto" w:sz="18" w:space="0"/>
              <w:left w:val="nil"/>
              <w:bottom w:val="nil"/>
              <w:right w:val="single" w:color="auto" w:sz="4" w:space="0"/>
            </w:tcBorders>
            <w:shd w:val="clear" w:color="auto" w:fill="auto"/>
            <w:noWrap/>
            <w:vAlign w:val="top"/>
          </w:tcPr>
          <w:p w14:paraId="0CEE7E51">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99.073</w:t>
            </w:r>
          </w:p>
        </w:tc>
        <w:tc>
          <w:tcPr>
            <w:tcW w:w="633" w:type="pct"/>
            <w:tcBorders>
              <w:top w:val="single" w:color="auto" w:sz="18" w:space="0"/>
              <w:left w:val="nil"/>
              <w:bottom w:val="nil"/>
              <w:right w:val="single" w:color="auto" w:sz="4" w:space="0"/>
            </w:tcBorders>
            <w:shd w:val="clear" w:color="auto" w:fill="auto"/>
            <w:noWrap/>
            <w:vAlign w:val="top"/>
          </w:tcPr>
          <w:p w14:paraId="34709290">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89.481</w:t>
            </w:r>
          </w:p>
        </w:tc>
        <w:tc>
          <w:tcPr>
            <w:tcW w:w="615" w:type="pct"/>
            <w:tcBorders>
              <w:top w:val="single" w:color="auto" w:sz="18" w:space="0"/>
              <w:left w:val="nil"/>
              <w:bottom w:val="nil"/>
              <w:right w:val="single" w:color="auto" w:sz="4" w:space="0"/>
            </w:tcBorders>
            <w:shd w:val="clear" w:color="auto" w:fill="auto"/>
            <w:noWrap/>
            <w:vAlign w:val="top"/>
          </w:tcPr>
          <w:p w14:paraId="5DB36D6F">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92.483</w:t>
            </w:r>
          </w:p>
        </w:tc>
        <w:tc>
          <w:tcPr>
            <w:tcW w:w="1123" w:type="pct"/>
            <w:tcBorders>
              <w:top w:val="single" w:color="auto" w:sz="18" w:space="0"/>
              <w:left w:val="nil"/>
              <w:bottom w:val="nil"/>
              <w:right w:val="single" w:color="auto" w:sz="18" w:space="0"/>
            </w:tcBorders>
            <w:shd w:val="clear" w:color="auto" w:fill="auto"/>
            <w:noWrap/>
            <w:vAlign w:val="top"/>
          </w:tcPr>
          <w:p w14:paraId="477A3455">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74.183</w:t>
            </w:r>
          </w:p>
        </w:tc>
      </w:tr>
      <w:tr w14:paraId="6C3CEFBC">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65113F5D">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61B8C9C5">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single" w:color="auto" w:sz="4" w:space="0"/>
            </w:tcBorders>
            <w:shd w:val="clear" w:color="auto" w:fill="auto"/>
            <w:noWrap/>
            <w:vAlign w:val="top"/>
          </w:tcPr>
          <w:p w14:paraId="0921757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8.21</w:t>
            </w:r>
          </w:p>
        </w:tc>
        <w:tc>
          <w:tcPr>
            <w:tcW w:w="633" w:type="pct"/>
            <w:tcBorders>
              <w:top w:val="nil"/>
              <w:left w:val="nil"/>
              <w:bottom w:val="nil"/>
              <w:right w:val="single" w:color="auto" w:sz="4" w:space="0"/>
            </w:tcBorders>
            <w:shd w:val="clear" w:color="auto" w:fill="auto"/>
            <w:noWrap/>
            <w:vAlign w:val="top"/>
          </w:tcPr>
          <w:p w14:paraId="63A51DF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9.10</w:t>
            </w:r>
          </w:p>
        </w:tc>
        <w:tc>
          <w:tcPr>
            <w:tcW w:w="615" w:type="pct"/>
            <w:tcBorders>
              <w:top w:val="nil"/>
              <w:left w:val="nil"/>
              <w:bottom w:val="nil"/>
              <w:right w:val="single" w:color="auto" w:sz="4" w:space="0"/>
            </w:tcBorders>
            <w:shd w:val="clear" w:color="auto" w:fill="auto"/>
            <w:noWrap/>
            <w:vAlign w:val="top"/>
          </w:tcPr>
          <w:p w14:paraId="507B799A">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8.81</w:t>
            </w:r>
          </w:p>
        </w:tc>
        <w:tc>
          <w:tcPr>
            <w:tcW w:w="1123" w:type="pct"/>
            <w:tcBorders>
              <w:top w:val="nil"/>
              <w:left w:val="nil"/>
              <w:bottom w:val="nil"/>
              <w:right w:val="single" w:color="auto" w:sz="18" w:space="0"/>
            </w:tcBorders>
            <w:shd w:val="clear" w:color="auto" w:fill="auto"/>
            <w:noWrap/>
            <w:vAlign w:val="top"/>
          </w:tcPr>
          <w:p w14:paraId="2BF4DFDD">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10.72</w:t>
            </w:r>
          </w:p>
        </w:tc>
      </w:tr>
      <w:tr w14:paraId="428E57E7">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78C5DFF4">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5A2D79C4">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single" w:color="auto" w:sz="4" w:space="0"/>
            </w:tcBorders>
            <w:shd w:val="clear" w:color="auto" w:fill="auto"/>
            <w:noWrap/>
            <w:vAlign w:val="top"/>
          </w:tcPr>
          <w:p w14:paraId="1DA5443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0.388</w:t>
            </w:r>
          </w:p>
        </w:tc>
        <w:tc>
          <w:tcPr>
            <w:tcW w:w="633" w:type="pct"/>
            <w:tcBorders>
              <w:top w:val="nil"/>
              <w:left w:val="nil"/>
              <w:bottom w:val="nil"/>
              <w:right w:val="single" w:color="auto" w:sz="4" w:space="0"/>
            </w:tcBorders>
            <w:shd w:val="clear" w:color="auto" w:fill="auto"/>
            <w:noWrap/>
            <w:vAlign w:val="top"/>
          </w:tcPr>
          <w:p w14:paraId="68370763">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0.439</w:t>
            </w:r>
          </w:p>
        </w:tc>
        <w:tc>
          <w:tcPr>
            <w:tcW w:w="615" w:type="pct"/>
            <w:tcBorders>
              <w:top w:val="nil"/>
              <w:left w:val="nil"/>
              <w:bottom w:val="nil"/>
              <w:right w:val="single" w:color="auto" w:sz="4" w:space="0"/>
            </w:tcBorders>
            <w:shd w:val="clear" w:color="auto" w:fill="auto"/>
            <w:noWrap/>
            <w:vAlign w:val="top"/>
          </w:tcPr>
          <w:p w14:paraId="22234226">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0.424</w:t>
            </w:r>
          </w:p>
        </w:tc>
        <w:tc>
          <w:tcPr>
            <w:tcW w:w="1123" w:type="pct"/>
            <w:tcBorders>
              <w:top w:val="nil"/>
              <w:left w:val="nil"/>
              <w:bottom w:val="nil"/>
              <w:right w:val="single" w:color="auto" w:sz="18" w:space="0"/>
            </w:tcBorders>
            <w:shd w:val="clear" w:color="auto" w:fill="auto"/>
            <w:noWrap/>
            <w:vAlign w:val="top"/>
          </w:tcPr>
          <w:p w14:paraId="3DAD75D6">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0.465</w:t>
            </w:r>
          </w:p>
        </w:tc>
      </w:tr>
      <w:tr w14:paraId="7DC06197">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single" w:color="auto" w:sz="4" w:space="0"/>
            </w:tcBorders>
            <w:vAlign w:val="top"/>
          </w:tcPr>
          <w:p w14:paraId="69CF057E">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single" w:color="auto" w:sz="4" w:space="0"/>
            </w:tcBorders>
            <w:shd w:val="clear" w:color="auto" w:fill="auto"/>
            <w:noWrap/>
            <w:vAlign w:val="top"/>
          </w:tcPr>
          <w:p w14:paraId="4612A50A">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single" w:color="auto" w:sz="4" w:space="0"/>
            </w:tcBorders>
            <w:shd w:val="clear" w:color="auto" w:fill="auto"/>
            <w:noWrap/>
            <w:vAlign w:val="top"/>
          </w:tcPr>
          <w:p w14:paraId="54524A8C">
            <w:pPr>
              <w:widowControl/>
              <w:jc w:val="center"/>
              <w:rPr>
                <w:rFonts w:ascii="Times New Roman" w:hAnsi="Times New Roman" w:eastAsia="宋体" w:cs="Times New Roman"/>
                <w:color w:val="000000"/>
                <w:kern w:val="0"/>
                <w:sz w:val="22"/>
              </w:rPr>
            </w:pPr>
          </w:p>
        </w:tc>
        <w:tc>
          <w:tcPr>
            <w:tcW w:w="633" w:type="pct"/>
            <w:tcBorders>
              <w:top w:val="nil"/>
              <w:left w:val="nil"/>
              <w:bottom w:val="single" w:color="auto" w:sz="18" w:space="0"/>
              <w:right w:val="single" w:color="auto" w:sz="4" w:space="0"/>
            </w:tcBorders>
            <w:shd w:val="clear" w:color="auto" w:fill="auto"/>
            <w:noWrap/>
            <w:vAlign w:val="top"/>
          </w:tcPr>
          <w:p w14:paraId="7402B57F">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0.003 s</w:t>
            </w:r>
          </w:p>
        </w:tc>
        <w:tc>
          <w:tcPr>
            <w:tcW w:w="615" w:type="pct"/>
            <w:tcBorders>
              <w:top w:val="nil"/>
              <w:left w:val="nil"/>
              <w:bottom w:val="single" w:color="auto" w:sz="18" w:space="0"/>
              <w:right w:val="single" w:color="auto" w:sz="4" w:space="0"/>
            </w:tcBorders>
            <w:shd w:val="clear" w:color="auto" w:fill="auto"/>
            <w:noWrap/>
            <w:vAlign w:val="top"/>
          </w:tcPr>
          <w:p w14:paraId="26F9C4C5">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0.005 s</w:t>
            </w:r>
          </w:p>
        </w:tc>
        <w:tc>
          <w:tcPr>
            <w:tcW w:w="1123" w:type="pct"/>
            <w:tcBorders>
              <w:top w:val="nil"/>
              <w:left w:val="nil"/>
              <w:bottom w:val="single" w:color="auto" w:sz="18" w:space="0"/>
              <w:right w:val="single" w:color="auto" w:sz="18" w:space="0"/>
            </w:tcBorders>
            <w:shd w:val="clear" w:color="auto" w:fill="auto"/>
            <w:noWrap/>
            <w:vAlign w:val="top"/>
          </w:tcPr>
          <w:p w14:paraId="56FE8851">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11.747 s</w:t>
            </w:r>
          </w:p>
        </w:tc>
      </w:tr>
      <w:tr w14:paraId="7A5EA1A8">
        <w:tblPrEx>
          <w:tblCellMar>
            <w:top w:w="0" w:type="dxa"/>
            <w:left w:w="108" w:type="dxa"/>
            <w:bottom w:w="0" w:type="dxa"/>
            <w:right w:w="108" w:type="dxa"/>
          </w:tblCellMar>
        </w:tblPrEx>
        <w:trPr>
          <w:trHeight w:val="276" w:hRule="atLeast"/>
        </w:trPr>
        <w:tc>
          <w:tcPr>
            <w:tcW w:w="1118" w:type="pct"/>
            <w:vMerge w:val="restart"/>
            <w:tcBorders>
              <w:top w:val="single" w:color="auto" w:sz="18" w:space="0"/>
              <w:left w:val="single" w:color="auto" w:sz="18" w:space="0"/>
              <w:bottom w:val="nil"/>
              <w:right w:val="single" w:color="auto" w:sz="4" w:space="0"/>
            </w:tcBorders>
            <w:shd w:val="clear" w:color="auto" w:fill="auto"/>
            <w:noWrap/>
            <w:vAlign w:val="top"/>
          </w:tcPr>
          <w:p w14:paraId="5B4FFB36">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NH53</w:t>
            </w:r>
          </w:p>
          <w:p w14:paraId="586CD9B6">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(Rescaled: 0.5)</w:t>
            </w:r>
          </w:p>
        </w:tc>
        <w:tc>
          <w:tcPr>
            <w:tcW w:w="778" w:type="pct"/>
            <w:tcBorders>
              <w:top w:val="single" w:color="auto" w:sz="18" w:space="0"/>
              <w:left w:val="nil"/>
              <w:bottom w:val="nil"/>
              <w:right w:val="single" w:color="auto" w:sz="4" w:space="0"/>
            </w:tcBorders>
            <w:shd w:val="clear" w:color="auto" w:fill="auto"/>
            <w:noWrap/>
            <w:vAlign w:val="top"/>
          </w:tcPr>
          <w:p w14:paraId="62E8FEB2">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RMSE↓</w:t>
            </w:r>
          </w:p>
        </w:tc>
        <w:tc>
          <w:tcPr>
            <w:tcW w:w="730" w:type="pct"/>
            <w:tcBorders>
              <w:top w:val="single" w:color="auto" w:sz="18" w:space="0"/>
              <w:left w:val="nil"/>
              <w:bottom w:val="nil"/>
              <w:right w:val="single" w:color="auto" w:sz="4" w:space="0"/>
            </w:tcBorders>
            <w:shd w:val="clear" w:color="auto" w:fill="auto"/>
            <w:noWrap/>
            <w:vAlign w:val="top"/>
          </w:tcPr>
          <w:p w14:paraId="1F7FDBD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83.702</w:t>
            </w:r>
          </w:p>
        </w:tc>
        <w:tc>
          <w:tcPr>
            <w:tcW w:w="633" w:type="pct"/>
            <w:tcBorders>
              <w:top w:val="single" w:color="auto" w:sz="18" w:space="0"/>
              <w:left w:val="nil"/>
              <w:bottom w:val="nil"/>
              <w:right w:val="single" w:color="auto" w:sz="4" w:space="0"/>
            </w:tcBorders>
            <w:shd w:val="clear" w:color="auto" w:fill="auto"/>
            <w:noWrap/>
            <w:vAlign w:val="top"/>
          </w:tcPr>
          <w:p w14:paraId="07228807">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96.792</w:t>
            </w:r>
          </w:p>
        </w:tc>
        <w:tc>
          <w:tcPr>
            <w:tcW w:w="615" w:type="pct"/>
            <w:tcBorders>
              <w:top w:val="single" w:color="auto" w:sz="18" w:space="0"/>
              <w:left w:val="nil"/>
              <w:bottom w:val="nil"/>
              <w:right w:val="single" w:color="auto" w:sz="4" w:space="0"/>
            </w:tcBorders>
            <w:shd w:val="clear" w:color="auto" w:fill="auto"/>
            <w:noWrap/>
            <w:vAlign w:val="top"/>
          </w:tcPr>
          <w:p w14:paraId="52C926B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77.051</w:t>
            </w:r>
          </w:p>
        </w:tc>
        <w:tc>
          <w:tcPr>
            <w:tcW w:w="1123" w:type="pct"/>
            <w:tcBorders>
              <w:top w:val="single" w:color="auto" w:sz="18" w:space="0"/>
              <w:left w:val="nil"/>
              <w:bottom w:val="nil"/>
              <w:right w:val="single" w:color="auto" w:sz="18" w:space="0"/>
            </w:tcBorders>
            <w:shd w:val="clear" w:color="auto" w:fill="auto"/>
            <w:noWrap/>
            <w:vAlign w:val="top"/>
          </w:tcPr>
          <w:p w14:paraId="09E03BB1">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54.883</w:t>
            </w:r>
          </w:p>
        </w:tc>
      </w:tr>
      <w:tr w14:paraId="49DE85F1">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1B6C9841">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3019B095">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PSNR↑</w:t>
            </w:r>
          </w:p>
        </w:tc>
        <w:tc>
          <w:tcPr>
            <w:tcW w:w="730" w:type="pct"/>
            <w:tcBorders>
              <w:top w:val="nil"/>
              <w:left w:val="nil"/>
              <w:bottom w:val="nil"/>
              <w:right w:val="single" w:color="auto" w:sz="4" w:space="0"/>
            </w:tcBorders>
            <w:shd w:val="clear" w:color="auto" w:fill="auto"/>
            <w:noWrap/>
            <w:vAlign w:val="top"/>
          </w:tcPr>
          <w:p w14:paraId="64981C18">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9.68</w:t>
            </w:r>
          </w:p>
        </w:tc>
        <w:tc>
          <w:tcPr>
            <w:tcW w:w="633" w:type="pct"/>
            <w:tcBorders>
              <w:top w:val="nil"/>
              <w:left w:val="nil"/>
              <w:bottom w:val="nil"/>
              <w:right w:val="single" w:color="auto" w:sz="4" w:space="0"/>
            </w:tcBorders>
            <w:shd w:val="clear" w:color="auto" w:fill="auto"/>
            <w:noWrap/>
            <w:vAlign w:val="top"/>
          </w:tcPr>
          <w:p w14:paraId="3A7AA800">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8.41</w:t>
            </w:r>
          </w:p>
        </w:tc>
        <w:tc>
          <w:tcPr>
            <w:tcW w:w="615" w:type="pct"/>
            <w:tcBorders>
              <w:top w:val="nil"/>
              <w:left w:val="nil"/>
              <w:bottom w:val="nil"/>
              <w:right w:val="single" w:color="auto" w:sz="4" w:space="0"/>
            </w:tcBorders>
            <w:shd w:val="clear" w:color="auto" w:fill="auto"/>
            <w:noWrap/>
            <w:vAlign w:val="top"/>
          </w:tcPr>
          <w:p w14:paraId="0E8BD554">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10.40</w:t>
            </w:r>
          </w:p>
        </w:tc>
        <w:tc>
          <w:tcPr>
            <w:tcW w:w="1123" w:type="pct"/>
            <w:tcBorders>
              <w:top w:val="nil"/>
              <w:left w:val="nil"/>
              <w:bottom w:val="nil"/>
              <w:right w:val="single" w:color="auto" w:sz="18" w:space="0"/>
            </w:tcBorders>
            <w:shd w:val="clear" w:color="auto" w:fill="auto"/>
            <w:noWrap/>
            <w:vAlign w:val="top"/>
          </w:tcPr>
          <w:p w14:paraId="2583BC60">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13.34</w:t>
            </w:r>
          </w:p>
        </w:tc>
      </w:tr>
      <w:tr w14:paraId="432AB30B">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nil"/>
              <w:right w:val="single" w:color="auto" w:sz="4" w:space="0"/>
            </w:tcBorders>
            <w:vAlign w:val="top"/>
          </w:tcPr>
          <w:p w14:paraId="78C54AEF">
            <w:pPr>
              <w:widowControl/>
              <w:jc w:val="center"/>
              <w:rPr>
                <w:rFonts w:ascii="Times New Roman" w:hAnsi="Times New Roman" w:eastAsia="宋体" w:cs="Times New Roman"/>
                <w:color w:val="000000"/>
                <w:kern w:val="0"/>
                <w:sz w:val="22"/>
              </w:rPr>
            </w:pPr>
          </w:p>
        </w:tc>
        <w:tc>
          <w:tcPr>
            <w:tcW w:w="778" w:type="pct"/>
            <w:tcBorders>
              <w:top w:val="nil"/>
              <w:left w:val="nil"/>
              <w:bottom w:val="nil"/>
              <w:right w:val="single" w:color="auto" w:sz="4" w:space="0"/>
            </w:tcBorders>
            <w:shd w:val="clear" w:color="auto" w:fill="auto"/>
            <w:noWrap/>
            <w:vAlign w:val="top"/>
          </w:tcPr>
          <w:p w14:paraId="43D8B19A">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SSIM↑</w:t>
            </w:r>
          </w:p>
        </w:tc>
        <w:tc>
          <w:tcPr>
            <w:tcW w:w="730" w:type="pct"/>
            <w:tcBorders>
              <w:top w:val="nil"/>
              <w:left w:val="nil"/>
              <w:bottom w:val="nil"/>
              <w:right w:val="single" w:color="auto" w:sz="4" w:space="0"/>
            </w:tcBorders>
            <w:shd w:val="clear" w:color="auto" w:fill="auto"/>
            <w:noWrap/>
            <w:vAlign w:val="top"/>
          </w:tcPr>
          <w:p w14:paraId="6B2247AB">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0.445</w:t>
            </w:r>
          </w:p>
        </w:tc>
        <w:tc>
          <w:tcPr>
            <w:tcW w:w="633" w:type="pct"/>
            <w:tcBorders>
              <w:top w:val="nil"/>
              <w:left w:val="nil"/>
              <w:bottom w:val="nil"/>
              <w:right w:val="single" w:color="auto" w:sz="4" w:space="0"/>
            </w:tcBorders>
            <w:shd w:val="clear" w:color="auto" w:fill="auto"/>
            <w:noWrap/>
            <w:vAlign w:val="top"/>
          </w:tcPr>
          <w:p w14:paraId="1D246C73">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b/>
                <w:bCs/>
                <w:color w:val="000000"/>
                <w:kern w:val="0"/>
                <w:sz w:val="22"/>
              </w:rPr>
              <w:t>0.444</w:t>
            </w:r>
          </w:p>
        </w:tc>
        <w:tc>
          <w:tcPr>
            <w:tcW w:w="615" w:type="pct"/>
            <w:tcBorders>
              <w:top w:val="nil"/>
              <w:left w:val="nil"/>
              <w:bottom w:val="nil"/>
              <w:right w:val="single" w:color="auto" w:sz="4" w:space="0"/>
            </w:tcBorders>
            <w:shd w:val="clear" w:color="auto" w:fill="auto"/>
            <w:noWrap/>
            <w:vAlign w:val="top"/>
          </w:tcPr>
          <w:p w14:paraId="19613F09">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0.465</w:t>
            </w:r>
          </w:p>
        </w:tc>
        <w:tc>
          <w:tcPr>
            <w:tcW w:w="1123" w:type="pct"/>
            <w:tcBorders>
              <w:top w:val="nil"/>
              <w:left w:val="nil"/>
              <w:bottom w:val="nil"/>
              <w:right w:val="single" w:color="auto" w:sz="18" w:space="0"/>
            </w:tcBorders>
            <w:shd w:val="clear" w:color="auto" w:fill="auto"/>
            <w:noWrap/>
            <w:vAlign w:val="top"/>
          </w:tcPr>
          <w:p w14:paraId="42BC0C25">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0.528</w:t>
            </w:r>
          </w:p>
        </w:tc>
      </w:tr>
      <w:tr w14:paraId="0474E8ED">
        <w:tblPrEx>
          <w:tblCellMar>
            <w:top w:w="0" w:type="dxa"/>
            <w:left w:w="108" w:type="dxa"/>
            <w:bottom w:w="0" w:type="dxa"/>
            <w:right w:w="108" w:type="dxa"/>
          </w:tblCellMar>
        </w:tblPrEx>
        <w:trPr>
          <w:trHeight w:val="276" w:hRule="atLeast"/>
        </w:trPr>
        <w:tc>
          <w:tcPr>
            <w:tcW w:w="1118" w:type="pct"/>
            <w:vMerge w:val="continue"/>
            <w:tcBorders>
              <w:top w:val="nil"/>
              <w:left w:val="single" w:color="auto" w:sz="18" w:space="0"/>
              <w:bottom w:val="single" w:color="auto" w:sz="18" w:space="0"/>
              <w:right w:val="single" w:color="auto" w:sz="4" w:space="0"/>
            </w:tcBorders>
            <w:vAlign w:val="top"/>
          </w:tcPr>
          <w:p w14:paraId="638EF1F7">
            <w:pPr>
              <w:widowControl/>
              <w:jc w:val="center"/>
              <w:rPr>
                <w:rFonts w:ascii="Times New Roman" w:hAnsi="Times New Roman" w:eastAsia="宋体" w:cs="Times New Roman"/>
                <w:color w:val="000000"/>
                <w:kern w:val="0"/>
                <w:sz w:val="22"/>
              </w:rPr>
            </w:pPr>
          </w:p>
        </w:tc>
        <w:tc>
          <w:tcPr>
            <w:tcW w:w="778" w:type="pct"/>
            <w:tcBorders>
              <w:top w:val="nil"/>
              <w:left w:val="nil"/>
              <w:bottom w:val="single" w:color="auto" w:sz="18" w:space="0"/>
              <w:right w:val="single" w:color="auto" w:sz="4" w:space="0"/>
            </w:tcBorders>
            <w:shd w:val="clear" w:color="auto" w:fill="auto"/>
            <w:noWrap/>
            <w:vAlign w:val="top"/>
          </w:tcPr>
          <w:p w14:paraId="678DDF2D">
            <w:pPr>
              <w:widowControl/>
              <w:jc w:val="center"/>
              <w:rPr>
                <w:rFonts w:ascii="Times New Roman" w:hAnsi="Times New Roman" w:eastAsia="宋体" w:cs="Times New Roman"/>
                <w:color w:val="000000"/>
                <w:kern w:val="0"/>
                <w:sz w:val="22"/>
              </w:rPr>
            </w:pPr>
            <w:r>
              <w:rPr>
                <w:rFonts w:ascii="Times New Roman" w:hAnsi="Times New Roman" w:eastAsia="宋体" w:cs="Times New Roman"/>
                <w:color w:val="000000"/>
                <w:kern w:val="0"/>
                <w:sz w:val="22"/>
              </w:rPr>
              <w:t>Time (s)↓</w:t>
            </w:r>
          </w:p>
        </w:tc>
        <w:tc>
          <w:tcPr>
            <w:tcW w:w="730" w:type="pct"/>
            <w:tcBorders>
              <w:top w:val="nil"/>
              <w:left w:val="nil"/>
              <w:bottom w:val="single" w:color="auto" w:sz="18" w:space="0"/>
              <w:right w:val="single" w:color="auto" w:sz="4" w:space="0"/>
            </w:tcBorders>
            <w:shd w:val="clear" w:color="auto" w:fill="auto"/>
            <w:noWrap/>
            <w:vAlign w:val="top"/>
          </w:tcPr>
          <w:p w14:paraId="48B7BB7B">
            <w:pPr>
              <w:widowControl/>
              <w:jc w:val="center"/>
              <w:rPr>
                <w:rFonts w:ascii="Times New Roman" w:hAnsi="Times New Roman" w:eastAsia="宋体" w:cs="Times New Roman"/>
                <w:color w:val="000000"/>
                <w:kern w:val="0"/>
                <w:sz w:val="22"/>
              </w:rPr>
            </w:pPr>
          </w:p>
        </w:tc>
        <w:tc>
          <w:tcPr>
            <w:tcW w:w="633" w:type="pct"/>
            <w:tcBorders>
              <w:top w:val="nil"/>
              <w:left w:val="nil"/>
              <w:bottom w:val="single" w:color="auto" w:sz="18" w:space="0"/>
              <w:right w:val="single" w:color="auto" w:sz="4" w:space="0"/>
            </w:tcBorders>
            <w:shd w:val="clear" w:color="auto" w:fill="auto"/>
            <w:noWrap/>
            <w:vAlign w:val="top"/>
          </w:tcPr>
          <w:p w14:paraId="4BA03A5F">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0.003 s</w:t>
            </w:r>
          </w:p>
        </w:tc>
        <w:tc>
          <w:tcPr>
            <w:tcW w:w="615" w:type="pct"/>
            <w:tcBorders>
              <w:top w:val="nil"/>
              <w:left w:val="nil"/>
              <w:bottom w:val="single" w:color="auto" w:sz="18" w:space="0"/>
              <w:right w:val="single" w:color="auto" w:sz="4" w:space="0"/>
            </w:tcBorders>
            <w:shd w:val="clear" w:color="auto" w:fill="auto"/>
            <w:noWrap/>
            <w:vAlign w:val="top"/>
          </w:tcPr>
          <w:p w14:paraId="5CEC1C70">
            <w:pPr>
              <w:widowControl/>
              <w:jc w:val="center"/>
              <w:rPr>
                <w:rFonts w:ascii="Times New Roman" w:hAnsi="Times New Roman" w:eastAsia="宋体" w:cs="Times New Roman"/>
                <w:b/>
                <w:bCs/>
                <w:color w:val="000000"/>
                <w:kern w:val="0"/>
                <w:sz w:val="22"/>
              </w:rPr>
            </w:pPr>
            <w:r>
              <w:rPr>
                <w:rFonts w:hint="eastAsia" w:ascii="Times New Roman" w:hAnsi="Times New Roman" w:eastAsia="宋体" w:cs="Times New Roman"/>
                <w:b/>
                <w:bCs/>
                <w:color w:val="000000"/>
                <w:kern w:val="0"/>
                <w:sz w:val="22"/>
              </w:rPr>
              <w:t>0.006 s</w:t>
            </w:r>
          </w:p>
        </w:tc>
        <w:tc>
          <w:tcPr>
            <w:tcW w:w="1123" w:type="pct"/>
            <w:tcBorders>
              <w:top w:val="nil"/>
              <w:left w:val="nil"/>
              <w:bottom w:val="single" w:color="auto" w:sz="18" w:space="0"/>
              <w:right w:val="single" w:color="auto" w:sz="18" w:space="0"/>
            </w:tcBorders>
            <w:shd w:val="clear" w:color="auto" w:fill="auto"/>
            <w:noWrap/>
            <w:vAlign w:val="top"/>
          </w:tcPr>
          <w:p w14:paraId="690BCAEE">
            <w:pPr>
              <w:widowControl/>
              <w:jc w:val="center"/>
              <w:rPr>
                <w:rFonts w:ascii="Times New Roman" w:hAnsi="Times New Roman" w:eastAsia="宋体" w:cs="Times New Roman"/>
                <w:color w:val="000000"/>
                <w:kern w:val="0"/>
                <w:sz w:val="22"/>
              </w:rPr>
            </w:pPr>
            <w:r>
              <w:rPr>
                <w:rFonts w:hint="eastAsia" w:ascii="Times New Roman" w:hAnsi="Times New Roman" w:eastAsia="宋体" w:cs="Times New Roman"/>
                <w:color w:val="000000"/>
                <w:kern w:val="0"/>
                <w:sz w:val="22"/>
              </w:rPr>
              <w:t>11.545 s</w:t>
            </w:r>
          </w:p>
        </w:tc>
      </w:tr>
    </w:tbl>
    <w:p w14:paraId="165C69FD">
      <w:pPr>
        <w:bidi w:val="0"/>
        <w:rPr>
          <w:rFonts w:hint="eastAsia"/>
          <w:lang w:eastAsia="zh-CN"/>
        </w:rPr>
      </w:pPr>
      <w:r>
        <w:rPr>
          <w:rFonts w:hint="eastAsia"/>
          <w:lang w:eastAsia="zh-CN"/>
        </w:rPr>
        <w:drawing>
          <wp:inline distT="0" distB="0" distL="114300" distR="114300">
            <wp:extent cx="5261610" cy="2101850"/>
            <wp:effectExtent l="0" t="0" r="8890" b="6350"/>
            <wp:docPr id="7"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1"/>
                    <pic:cNvPicPr>
                      <a:picLocks noChangeAspect="1"/>
                    </pic:cNvPicPr>
                  </pic:nvPicPr>
                  <pic:blipFill>
                    <a:blip r:embed="rId7"/>
                    <a:stretch>
                      <a:fillRect/>
                    </a:stretch>
                  </pic:blipFill>
                  <pic:spPr>
                    <a:xfrm>
                      <a:off x="0" y="0"/>
                      <a:ext cx="5261610" cy="2101850"/>
                    </a:xfrm>
                    <a:prstGeom prst="rect">
                      <a:avLst/>
                    </a:prstGeom>
                    <a:noFill/>
                    <a:ln>
                      <a:noFill/>
                    </a:ln>
                  </pic:spPr>
                </pic:pic>
              </a:graphicData>
            </a:graphic>
          </wp:inline>
        </w:drawing>
      </w:r>
      <w:r>
        <w:rPr>
          <w:rFonts w:hint="eastAsia"/>
          <w:lang w:eastAsia="zh-CN"/>
        </w:rPr>
        <w:drawing>
          <wp:inline distT="0" distB="0" distL="114300" distR="114300">
            <wp:extent cx="5272405" cy="1391285"/>
            <wp:effectExtent l="0" t="0" r="10795" b="5715"/>
            <wp:docPr id="8" name="图片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2"/>
                    <pic:cNvPicPr>
                      <a:picLocks noChangeAspect="1"/>
                    </pic:cNvPicPr>
                  </pic:nvPicPr>
                  <pic:blipFill>
                    <a:blip r:embed="rId8"/>
                    <a:stretch>
                      <a:fillRect/>
                    </a:stretch>
                  </pic:blipFill>
                  <pic:spPr>
                    <a:xfrm>
                      <a:off x="0" y="0"/>
                      <a:ext cx="5272405" cy="1391285"/>
                    </a:xfrm>
                    <a:prstGeom prst="rect">
                      <a:avLst/>
                    </a:prstGeom>
                    <a:noFill/>
                    <a:ln>
                      <a:noFill/>
                    </a:ln>
                  </pic:spPr>
                </pic:pic>
              </a:graphicData>
            </a:graphic>
          </wp:inline>
        </w:drawing>
      </w:r>
      <w:r>
        <w:rPr>
          <w:rFonts w:hint="eastAsia"/>
          <w:lang w:eastAsia="zh-CN"/>
        </w:rPr>
        <w:drawing>
          <wp:inline distT="0" distB="0" distL="114300" distR="114300">
            <wp:extent cx="5266690" cy="2592070"/>
            <wp:effectExtent l="0" t="0" r="3810" b="11430"/>
            <wp:docPr id="5" name="图片 7" descr="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forest"/>
                    <pic:cNvPicPr>
                      <a:picLocks noChangeAspect="1"/>
                    </pic:cNvPicPr>
                  </pic:nvPicPr>
                  <pic:blipFill>
                    <a:blip r:embed="rId9"/>
                    <a:stretch>
                      <a:fillRect/>
                    </a:stretch>
                  </pic:blipFill>
                  <pic:spPr>
                    <a:xfrm>
                      <a:off x="0" y="0"/>
                      <a:ext cx="5266690" cy="2592070"/>
                    </a:xfrm>
                    <a:prstGeom prst="rect">
                      <a:avLst/>
                    </a:prstGeom>
                    <a:noFill/>
                    <a:ln>
                      <a:noFill/>
                    </a:ln>
                  </pic:spPr>
                </pic:pic>
              </a:graphicData>
            </a:graphic>
          </wp:inline>
        </w:drawing>
      </w:r>
      <w:r>
        <w:rPr>
          <w:rFonts w:hint="eastAsia"/>
          <w:lang w:eastAsia="zh-CN"/>
        </w:rPr>
        <w:drawing>
          <wp:inline distT="0" distB="0" distL="114300" distR="114300">
            <wp:extent cx="0" cy="0"/>
            <wp:effectExtent l="0" t="0" r="0" b="0"/>
            <wp:docPr id="6" name="图片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1"/>
                    <pic:cNvPicPr>
                      <a:picLocks noChangeAspect="1"/>
                    </pic:cNvPicPr>
                  </pic:nvPicPr>
                  <pic:blipFill>
                    <a:blip r:embed="rId7"/>
                    <a:stretch>
                      <a:fillRect/>
                    </a:stretch>
                  </pic:blipFill>
                  <pic:spPr>
                    <a:xfrm>
                      <a:off x="0" y="0"/>
                      <a:ext cx="0" cy="0"/>
                    </a:xfrm>
                    <a:prstGeom prst="rect">
                      <a:avLst/>
                    </a:prstGeom>
                    <a:noFill/>
                    <a:ln>
                      <a:noFill/>
                    </a:ln>
                  </pic:spPr>
                </pic:pic>
              </a:graphicData>
            </a:graphic>
          </wp:inline>
        </w:drawing>
      </w:r>
    </w:p>
    <w:p w14:paraId="0D98E075">
      <w:pPr>
        <w:bidi w:val="0"/>
        <w:rPr>
          <w:rFonts w:hint="eastAsia"/>
          <w:lang w:eastAsia="zh-CN"/>
        </w:rPr>
      </w:pPr>
      <w:r>
        <w:rPr>
          <w:rFonts w:hint="eastAsia"/>
          <w:lang w:eastAsia="zh-CN"/>
        </w:rPr>
        <w:drawing>
          <wp:inline distT="0" distB="0" distL="114300" distR="114300">
            <wp:extent cx="5266690" cy="2592070"/>
            <wp:effectExtent l="0" t="0" r="3810" b="11430"/>
            <wp:docPr id="3" name="图片 4" descr="NH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NH46"/>
                    <pic:cNvPicPr>
                      <a:picLocks noChangeAspect="1"/>
                    </pic:cNvPicPr>
                  </pic:nvPicPr>
                  <pic:blipFill>
                    <a:blip r:embed="rId10"/>
                    <a:stretch>
                      <a:fillRect/>
                    </a:stretch>
                  </pic:blipFill>
                  <pic:spPr>
                    <a:xfrm>
                      <a:off x="0" y="0"/>
                      <a:ext cx="5266690" cy="2592070"/>
                    </a:xfrm>
                    <a:prstGeom prst="rect">
                      <a:avLst/>
                    </a:prstGeom>
                    <a:noFill/>
                    <a:ln>
                      <a:noFill/>
                    </a:ln>
                  </pic:spPr>
                </pic:pic>
              </a:graphicData>
            </a:graphic>
          </wp:inline>
        </w:drawing>
      </w:r>
      <w:r>
        <w:rPr>
          <w:rFonts w:hint="eastAsia"/>
          <w:lang w:eastAsia="zh-CN"/>
        </w:rPr>
        <w:drawing>
          <wp:inline distT="0" distB="0" distL="114300" distR="114300">
            <wp:extent cx="5266690" cy="2592070"/>
            <wp:effectExtent l="0" t="0" r="3810" b="11430"/>
            <wp:docPr id="4" name="图片 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untitled"/>
                    <pic:cNvPicPr>
                      <a:picLocks noChangeAspect="1"/>
                    </pic:cNvPicPr>
                  </pic:nvPicPr>
                  <pic:blipFill>
                    <a:blip r:embed="rId11"/>
                    <a:stretch>
                      <a:fillRect/>
                    </a:stretch>
                  </pic:blipFill>
                  <pic:spPr>
                    <a:xfrm>
                      <a:off x="0" y="0"/>
                      <a:ext cx="5266690" cy="2592070"/>
                    </a:xfrm>
                    <a:prstGeom prst="rect">
                      <a:avLst/>
                    </a:prstGeom>
                    <a:noFill/>
                    <a:ln>
                      <a:noFill/>
                    </a:ln>
                  </pic:spPr>
                </pic:pic>
              </a:graphicData>
            </a:graphic>
          </wp:inline>
        </w:drawing>
      </w:r>
      <w:r>
        <w:rPr>
          <w:rFonts w:hint="eastAsia"/>
          <w:lang w:eastAsia="zh-CN"/>
        </w:rPr>
        <w:drawing>
          <wp:inline distT="0" distB="0" distL="114300" distR="114300">
            <wp:extent cx="5266690" cy="2592070"/>
            <wp:effectExtent l="0" t="0" r="3810" b="11430"/>
            <wp:docPr id="2" name="图片 3" descr="NH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NH50"/>
                    <pic:cNvPicPr>
                      <a:picLocks noChangeAspect="1"/>
                    </pic:cNvPicPr>
                  </pic:nvPicPr>
                  <pic:blipFill>
                    <a:blip r:embed="rId12"/>
                    <a:stretch>
                      <a:fillRect/>
                    </a:stretch>
                  </pic:blipFill>
                  <pic:spPr>
                    <a:xfrm>
                      <a:off x="0" y="0"/>
                      <a:ext cx="5266690" cy="2592070"/>
                    </a:xfrm>
                    <a:prstGeom prst="rect">
                      <a:avLst/>
                    </a:prstGeom>
                    <a:noFill/>
                    <a:ln>
                      <a:noFill/>
                    </a:ln>
                  </pic:spPr>
                </pic:pic>
              </a:graphicData>
            </a:graphic>
          </wp:inline>
        </w:drawing>
      </w:r>
    </w:p>
    <w:p w14:paraId="0EA2025A">
      <w:pPr>
        <w:pStyle w:val="3"/>
        <w:keepNext w:val="0"/>
        <w:keepLines w:val="0"/>
        <w:widowControl/>
        <w:suppressLineNumbers w:val="0"/>
        <w:spacing w:before="200" w:beforeAutospacing="0" w:after="100" w:afterAutospacing="0" w:line="13" w:lineRule="atLeast"/>
        <w:rPr>
          <w:b/>
          <w:bCs/>
          <w:sz w:val="27"/>
          <w:szCs w:val="27"/>
        </w:rPr>
      </w:pPr>
      <w:r>
        <w:rPr>
          <w:b/>
          <w:bCs/>
          <w:sz w:val="27"/>
          <w:szCs w:val="27"/>
        </w:rPr>
        <w:t>各种方法的优劣分析</w:t>
      </w:r>
    </w:p>
    <w:p w14:paraId="07A2D9D9">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1. 直方图均衡化 (HistEq)</w:t>
      </w:r>
    </w:p>
    <w:p w14:paraId="6560FF8E">
      <w:pPr>
        <w:keepNext w:val="0"/>
        <w:keepLines w:val="0"/>
        <w:widowControl/>
        <w:suppressLineNumbers w:val="0"/>
        <w:jc w:val="left"/>
      </w:pPr>
      <w:r>
        <w:rPr>
          <w:rFonts w:ascii="宋体" w:hAnsi="宋体" w:eastAsia="宋体" w:cs="宋体"/>
          <w:b/>
          <w:bCs/>
          <w:kern w:val="0"/>
          <w:sz w:val="24"/>
          <w:szCs w:val="24"/>
          <w:lang w:val="en-US" w:eastAsia="zh-CN" w:bidi="ar"/>
        </w:rPr>
        <w:t>优点：</w:t>
      </w:r>
    </w:p>
    <w:p w14:paraId="1622325F">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计算速度最快，平均处理时间约为0.001-0.003秒</w:t>
      </w:r>
    </w:p>
    <w:p w14:paraId="5AEA92A9">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实现简单，不需要参考无雾图像</w:t>
      </w:r>
    </w:p>
    <w:p w14:paraId="26773B2F">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在NH46图像上有一定效果改善（比原图RMSE降低，PSNR和SSIM提高）</w:t>
      </w:r>
    </w:p>
    <w:p w14:paraId="13228E0C">
      <w:pPr>
        <w:keepNext w:val="0"/>
        <w:keepLines w:val="0"/>
        <w:widowControl/>
        <w:suppressLineNumbers w:val="0"/>
        <w:jc w:val="left"/>
      </w:pPr>
      <w:r>
        <w:rPr>
          <w:rFonts w:ascii="宋体" w:hAnsi="宋体" w:eastAsia="宋体" w:cs="宋体"/>
          <w:b/>
          <w:bCs/>
          <w:kern w:val="0"/>
          <w:sz w:val="24"/>
          <w:szCs w:val="24"/>
          <w:lang w:val="en-US" w:eastAsia="zh-CN" w:bidi="ar"/>
        </w:rPr>
        <w:t>缺点：</w:t>
      </w:r>
    </w:p>
    <w:p w14:paraId="1B7DEB2D">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在Forest、NH50和NH53图像上客观指标反而变差</w:t>
      </w:r>
    </w:p>
    <w:p w14:paraId="220076E1">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RMSE普遍高于其他方法</w:t>
      </w:r>
    </w:p>
    <w:p w14:paraId="0CE27212">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PSNR和SSIM值普遍最低</w:t>
      </w:r>
    </w:p>
    <w:p w14:paraId="381D17C2">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可能导致对比度过度增强，丢失图像细节</w:t>
      </w:r>
    </w:p>
    <w:p w14:paraId="33457976">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2. 直方图规定化 (HistSp)</w:t>
      </w:r>
    </w:p>
    <w:p w14:paraId="6F4213A5">
      <w:pPr>
        <w:keepNext w:val="0"/>
        <w:keepLines w:val="0"/>
        <w:widowControl/>
        <w:suppressLineNumbers w:val="0"/>
        <w:jc w:val="left"/>
      </w:pPr>
      <w:r>
        <w:rPr>
          <w:rFonts w:ascii="宋体" w:hAnsi="宋体" w:eastAsia="宋体" w:cs="宋体"/>
          <w:b/>
          <w:bCs/>
          <w:kern w:val="0"/>
          <w:sz w:val="24"/>
          <w:szCs w:val="24"/>
          <w:lang w:val="en-US" w:eastAsia="zh-CN" w:bidi="ar"/>
        </w:rPr>
        <w:t>优点：</w:t>
      </w:r>
    </w:p>
    <w:p w14:paraId="543D94AB">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计算速度较快，处理时间约为0.002-0.005秒</w:t>
      </w:r>
    </w:p>
    <w:p w14:paraId="7A91F633">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在所有测试图像上都有一定程度的改善（与原图相比）</w:t>
      </w:r>
    </w:p>
    <w:p w14:paraId="27D24F7A">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在Forest图像上效果尤为明显，RMSE降低明显，PSNR和SSIM提高显著</w:t>
      </w:r>
    </w:p>
    <w:p w14:paraId="46E120B4">
      <w:pPr>
        <w:keepNext w:val="0"/>
        <w:keepLines w:val="0"/>
        <w:widowControl/>
        <w:suppressLineNumbers w:val="0"/>
        <w:jc w:val="left"/>
      </w:pPr>
      <w:r>
        <w:rPr>
          <w:rFonts w:ascii="宋体" w:hAnsi="宋体" w:eastAsia="宋体" w:cs="宋体"/>
          <w:b/>
          <w:bCs/>
          <w:kern w:val="0"/>
          <w:sz w:val="24"/>
          <w:szCs w:val="24"/>
          <w:lang w:val="en-US" w:eastAsia="zh-CN" w:bidi="ar"/>
        </w:rPr>
        <w:t>缺点：</w:t>
      </w:r>
    </w:p>
    <w:p w14:paraId="1AC2ACFD">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需要无雾图像作为参考，实际应用中往往难以获得</w:t>
      </w:r>
    </w:p>
    <w:p w14:paraId="592656D2">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效果不如暗通道先验算法</w:t>
      </w:r>
    </w:p>
    <w:p w14:paraId="0BFF2341">
      <w:pPr>
        <w:keepNext w:val="0"/>
        <w:keepLines w:val="0"/>
        <w:widowControl/>
        <w:numPr>
          <w:ilvl w:val="0"/>
          <w:numId w:val="1"/>
        </w:numPr>
        <w:suppressLineNumbers w:val="0"/>
        <w:pBdr>
          <w:top w:val="none" w:color="auto" w:sz="0" w:space="0"/>
          <w:bottom w:val="none" w:color="auto" w:sz="0" w:space="0"/>
        </w:pBdr>
        <w:spacing w:before="20" w:beforeAutospacing="0" w:after="20" w:afterAutospacing="0"/>
        <w:ind w:left="420" w:leftChars="0" w:hanging="420" w:firstLineChars="0"/>
      </w:pPr>
      <w:r>
        <w:t>在NH46图像上改善不明显</w:t>
      </w:r>
    </w:p>
    <w:p w14:paraId="486DB912">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3. 暗通道先验 (Dark Channel)</w:t>
      </w:r>
    </w:p>
    <w:p w14:paraId="10C597EC">
      <w:pPr>
        <w:keepNext w:val="0"/>
        <w:keepLines w:val="0"/>
        <w:widowControl/>
        <w:suppressLineNumbers w:val="0"/>
        <w:jc w:val="left"/>
      </w:pPr>
      <w:r>
        <w:rPr>
          <w:rFonts w:ascii="宋体" w:hAnsi="宋体" w:eastAsia="宋体" w:cs="宋体"/>
          <w:b/>
          <w:bCs/>
          <w:kern w:val="0"/>
          <w:sz w:val="24"/>
          <w:szCs w:val="24"/>
          <w:lang w:val="en-US" w:eastAsia="zh-CN" w:bidi="ar"/>
        </w:rPr>
        <w:t>优点：</w:t>
      </w:r>
    </w:p>
    <w:p w14:paraId="082F24A9">
      <w:pPr>
        <w:keepNext w:val="0"/>
        <w:keepLines w:val="0"/>
        <w:widowControl/>
        <w:numPr>
          <w:ilvl w:val="0"/>
          <w:numId w:val="2"/>
        </w:numPr>
        <w:suppressLineNumbers w:val="0"/>
        <w:pBdr>
          <w:top w:val="none" w:color="auto" w:sz="0" w:space="0"/>
          <w:bottom w:val="none" w:color="auto" w:sz="0" w:space="0"/>
        </w:pBdr>
        <w:spacing w:before="20" w:beforeAutospacing="0" w:after="20" w:afterAutospacing="0"/>
        <w:ind w:left="160" w:hanging="360"/>
      </w:pPr>
      <w:r>
        <w:t>在所有测试图像上都获得最好的客观评价指标（最低RMSE，最高PSNR和SSIM）</w:t>
      </w:r>
    </w:p>
    <w:p w14:paraId="36F7F3EA">
      <w:pPr>
        <w:keepNext w:val="0"/>
        <w:keepLines w:val="0"/>
        <w:widowControl/>
        <w:numPr>
          <w:ilvl w:val="0"/>
          <w:numId w:val="3"/>
        </w:numPr>
        <w:suppressLineNumbers w:val="0"/>
        <w:pBdr>
          <w:top w:val="none" w:color="auto" w:sz="0" w:space="0"/>
          <w:bottom w:val="none" w:color="auto" w:sz="0" w:space="0"/>
        </w:pBdr>
        <w:spacing w:before="20" w:beforeAutospacing="0" w:after="20" w:afterAutospacing="0"/>
        <w:ind w:left="160" w:hanging="360"/>
      </w:pPr>
      <w:r>
        <w:t>在复杂场景（如NH53）上效果尤为显著</w:t>
      </w:r>
    </w:p>
    <w:p w14:paraId="531D1134">
      <w:pPr>
        <w:keepNext w:val="0"/>
        <w:keepLines w:val="0"/>
        <w:widowControl/>
        <w:numPr>
          <w:ilvl w:val="0"/>
          <w:numId w:val="4"/>
        </w:numPr>
        <w:suppressLineNumbers w:val="0"/>
        <w:pBdr>
          <w:top w:val="none" w:color="auto" w:sz="0" w:space="0"/>
          <w:bottom w:val="none" w:color="auto" w:sz="0" w:space="0"/>
        </w:pBdr>
        <w:spacing w:before="20" w:beforeAutospacing="0" w:after="20" w:afterAutospacing="0"/>
        <w:ind w:left="160" w:hanging="360"/>
      </w:pPr>
      <w:r>
        <w:t>不需要参考无雾图像</w:t>
      </w:r>
    </w:p>
    <w:p w14:paraId="590BD7AA">
      <w:pPr>
        <w:keepNext w:val="0"/>
        <w:keepLines w:val="0"/>
        <w:widowControl/>
        <w:suppressLineNumbers w:val="0"/>
        <w:jc w:val="left"/>
      </w:pPr>
      <w:r>
        <w:rPr>
          <w:rFonts w:ascii="宋体" w:hAnsi="宋体" w:eastAsia="宋体" w:cs="宋体"/>
          <w:b/>
          <w:bCs/>
          <w:kern w:val="0"/>
          <w:sz w:val="24"/>
          <w:szCs w:val="24"/>
          <w:lang w:val="en-US" w:eastAsia="zh-CN" w:bidi="ar"/>
        </w:rPr>
        <w:t>缺点：</w:t>
      </w:r>
    </w:p>
    <w:p w14:paraId="62120927">
      <w:pPr>
        <w:keepNext w:val="0"/>
        <w:keepLines w:val="0"/>
        <w:widowControl/>
        <w:numPr>
          <w:ilvl w:val="0"/>
          <w:numId w:val="5"/>
        </w:numPr>
        <w:suppressLineNumbers w:val="0"/>
        <w:pBdr>
          <w:top w:val="none" w:color="auto" w:sz="0" w:space="0"/>
          <w:bottom w:val="none" w:color="auto" w:sz="0" w:space="0"/>
        </w:pBdr>
        <w:spacing w:before="20" w:beforeAutospacing="0" w:after="20" w:afterAutospacing="0"/>
        <w:ind w:left="160" w:hanging="360"/>
      </w:pPr>
      <w:r>
        <w:t>计算复杂度高，处理时间最长（约4-12秒）</w:t>
      </w:r>
    </w:p>
    <w:p w14:paraId="2DA6382A">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问题</w:t>
      </w:r>
      <w:r>
        <w:rPr>
          <w:rFonts w:hint="eastAsia"/>
          <w:b/>
          <w:bCs/>
          <w:sz w:val="24"/>
          <w:szCs w:val="24"/>
          <w:lang w:val="en-US" w:eastAsia="zh-CN"/>
        </w:rPr>
        <w:t>3</w:t>
      </w:r>
      <w:r>
        <w:rPr>
          <w:b/>
          <w:bCs/>
          <w:sz w:val="24"/>
          <w:szCs w:val="24"/>
        </w:rPr>
        <w:t>：图像的客观质量评价指标好，其主观视觉效果就一定好吗？客观评价质量指标是否能完全反映出一个算法的图像去雾结果的优劣？</w:t>
      </w:r>
    </w:p>
    <w:p w14:paraId="06C9904A">
      <w:pPr>
        <w:keepNext w:val="0"/>
        <w:keepLines w:val="0"/>
        <w:widowControl/>
        <w:suppressLineNumbers w:val="0"/>
        <w:jc w:val="left"/>
      </w:pPr>
      <w:r>
        <w:rPr>
          <w:rFonts w:ascii="宋体" w:hAnsi="宋体" w:eastAsia="宋体" w:cs="宋体"/>
          <w:b/>
          <w:bCs/>
          <w:kern w:val="0"/>
          <w:sz w:val="24"/>
          <w:szCs w:val="24"/>
          <w:lang w:val="en-US" w:eastAsia="zh-CN" w:bidi="ar"/>
        </w:rPr>
        <w:t>回答：</w:t>
      </w:r>
      <w:r>
        <w:rPr>
          <w:rFonts w:ascii="宋体" w:hAnsi="宋体" w:eastAsia="宋体" w:cs="宋体"/>
          <w:kern w:val="0"/>
          <w:sz w:val="24"/>
          <w:szCs w:val="24"/>
          <w:lang w:val="en-US" w:eastAsia="zh-CN" w:bidi="ar"/>
        </w:rPr>
        <w:t>客观质量评价指标好并不一定意味着主观视觉效果也好。客观评价指标无法完全反映去雾算法的优劣，原因如下：</w:t>
      </w:r>
    </w:p>
    <w:p w14:paraId="1A60195B">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评价侧重点不同</w:t>
      </w:r>
      <w:r>
        <w:t>：RMSE、PSNR等指标主要基于像素级别的差异，而人眼更关注整体结构和视觉感受。例如，直方图均衡化可能使图像整体亮度提高，对比度增强，视觉上"看起来更清晰"，但客观指标可能较差。</w:t>
      </w:r>
    </w:p>
    <w:p w14:paraId="0B371F2A">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参考标准问题</w:t>
      </w:r>
      <w:r>
        <w:t>：客观指标需要与"Ground Truth"比较，但实际应用中这个"完美无雾图像"是不存在的，所以指标值可能不能真实反映去雾效果的好坏。</w:t>
      </w:r>
    </w:p>
    <w:p w14:paraId="7F6694A8">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场景特殊性</w:t>
      </w:r>
      <w:r>
        <w:t>：不同去雾算法在不同场景下表现各异。例如，暗通道先验算法虽然整体表现最好，但对于有大量天空区域的图像可能产生过度去雾的问题，而这种区域性的问题可能在整体指标中被平均掉。</w:t>
      </w:r>
    </w:p>
    <w:p w14:paraId="5BE61CB1">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细节与整体权衡</w:t>
      </w:r>
      <w:r>
        <w:t>：有些算法可能保留了更多细节（主观感受更好），但整体误差可能更大（客观指标较差）。</w:t>
      </w:r>
    </w:p>
    <w:p w14:paraId="5586CAF3">
      <w:pPr>
        <w:pStyle w:val="4"/>
        <w:keepNext w:val="0"/>
        <w:keepLines w:val="0"/>
        <w:widowControl/>
        <w:suppressLineNumbers w:val="0"/>
        <w:spacing w:before="180" w:beforeAutospacing="0" w:after="80" w:afterAutospacing="0" w:line="13" w:lineRule="atLeast"/>
        <w:rPr>
          <w:b/>
          <w:bCs/>
          <w:sz w:val="24"/>
          <w:szCs w:val="24"/>
        </w:rPr>
      </w:pPr>
      <w:r>
        <w:rPr>
          <w:b/>
          <w:bCs/>
          <w:sz w:val="24"/>
          <w:szCs w:val="24"/>
        </w:rPr>
        <w:t>问题</w:t>
      </w:r>
      <w:r>
        <w:rPr>
          <w:rFonts w:hint="eastAsia"/>
          <w:b/>
          <w:bCs/>
          <w:sz w:val="24"/>
          <w:szCs w:val="24"/>
          <w:lang w:val="en-US" w:eastAsia="zh-CN"/>
        </w:rPr>
        <w:t>4</w:t>
      </w:r>
      <w:r>
        <w:rPr>
          <w:b/>
          <w:bCs/>
          <w:sz w:val="24"/>
          <w:szCs w:val="24"/>
        </w:rPr>
        <w:t>：直方图规定化方法通过将有雾原图与无雾原图进行匹配，达到去雾效果，这种方法是否具有实际应用价值？</w:t>
      </w:r>
    </w:p>
    <w:p w14:paraId="7DCFB1DC">
      <w:pPr>
        <w:keepNext w:val="0"/>
        <w:keepLines w:val="0"/>
        <w:widowControl/>
        <w:suppressLineNumbers w:val="0"/>
        <w:jc w:val="left"/>
      </w:pPr>
      <w:r>
        <w:rPr>
          <w:rFonts w:ascii="宋体" w:hAnsi="宋体" w:eastAsia="宋体" w:cs="宋体"/>
          <w:b/>
          <w:bCs/>
          <w:kern w:val="0"/>
          <w:sz w:val="24"/>
          <w:szCs w:val="24"/>
          <w:lang w:val="en-US" w:eastAsia="zh-CN" w:bidi="ar"/>
        </w:rPr>
        <w:t>回答：</w:t>
      </w:r>
      <w:r>
        <w:rPr>
          <w:rFonts w:ascii="宋体" w:hAnsi="宋体" w:eastAsia="宋体" w:cs="宋体"/>
          <w:kern w:val="0"/>
          <w:sz w:val="24"/>
          <w:szCs w:val="24"/>
          <w:lang w:val="en-US" w:eastAsia="zh-CN" w:bidi="ar"/>
        </w:rPr>
        <w:t>直方图规定化方法在实际应用中价值有限，原因如下：</w:t>
      </w:r>
    </w:p>
    <w:p w14:paraId="3D63F762">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依赖参考图像</w:t>
      </w:r>
      <w:r>
        <w:t>：该方法需要无雾参考图像，而在实际应用中通常无法获得对应场景的无雾图像。</w:t>
      </w:r>
    </w:p>
    <w:p w14:paraId="41B71BBA">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场景特异性</w:t>
      </w:r>
      <w:r>
        <w:t>：每个场景的亮度分布不同，一个场景的无雾图像可能不适合作为另一个场景的参考。</w:t>
      </w:r>
    </w:p>
    <w:p w14:paraId="6D4853AC">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雾的非均匀分布</w:t>
      </w:r>
      <w:r>
        <w:t>：实际环境中，雾的分布往往是不均匀的，简单的直方图映射难以处理这种复杂情况。</w:t>
      </w:r>
    </w:p>
    <w:p w14:paraId="716FC87A">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有限的改善</w:t>
      </w:r>
      <w:r>
        <w:t>：从实验结果看，直方图规定化虽然比直方图均衡化效果好，但仍不如基于物理模型的暗通道先验算法。</w:t>
      </w:r>
    </w:p>
    <w:p w14:paraId="55430EA6">
      <w:pPr>
        <w:keepNext w:val="0"/>
        <w:keepLines w:val="0"/>
        <w:widowControl/>
        <w:numPr>
          <w:ilvl w:val="0"/>
          <w:numId w:val="6"/>
        </w:numPr>
        <w:suppressLineNumbers w:val="0"/>
        <w:pBdr>
          <w:top w:val="none" w:color="auto" w:sz="0" w:space="0"/>
          <w:bottom w:val="none" w:color="auto" w:sz="0" w:space="0"/>
        </w:pBdr>
        <w:spacing w:before="20" w:beforeAutospacing="0" w:after="20" w:afterAutospacing="0"/>
        <w:ind w:left="420" w:leftChars="0" w:hanging="420" w:firstLineChars="0"/>
      </w:pPr>
      <w:r>
        <w:rPr>
          <w:b/>
          <w:bCs/>
        </w:rPr>
        <w:t>教学和研究价值</w:t>
      </w:r>
      <w:r>
        <w:t>：尽管实用性有限，该方法在教学和研究中仍有价值，可以作为理解图像直方图处理和对比其他去雾算法的基础。</w:t>
      </w:r>
    </w:p>
    <w:p w14:paraId="435B4DBC">
      <w:pPr>
        <w:keepNext w:val="0"/>
        <w:keepLines w:val="0"/>
        <w:widowControl/>
        <w:suppressLineNumbers w:val="0"/>
        <w:jc w:val="left"/>
      </w:pPr>
      <w:r>
        <w:rPr>
          <w:rFonts w:ascii="宋体" w:hAnsi="宋体" w:eastAsia="宋体" w:cs="宋体"/>
          <w:kern w:val="0"/>
          <w:sz w:val="24"/>
          <w:szCs w:val="24"/>
          <w:lang w:val="en-US" w:eastAsia="zh-CN" w:bidi="ar"/>
        </w:rPr>
        <w:t>总结来说，直方图规定化作为一种简单的图像处理方法，在特定条件下（如有同场景无雾参考图像）可以产生一定效果，但在真实应用中难以推广使用</w:t>
      </w:r>
    </w:p>
    <w:p w14:paraId="03FCA7B5">
      <w:pPr>
        <w:bidi w:val="0"/>
        <w:rPr>
          <w:rFonts w:hint="eastAsia"/>
          <w:lang w:eastAsia="zh-CN"/>
        </w:rPr>
      </w:pPr>
    </w:p>
    <w:sectPr>
      <w:pgSz w:w="11906" w:h="16838"/>
      <w:pgMar w:top="993"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algun Gothic">
    <w:panose1 w:val="020B0503020000020004"/>
    <w:charset w:val="81"/>
    <w:family w:val="swiss"/>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4A49C">
    <w:pPr>
      <w:pStyle w:val="5"/>
      <w:framePr w:wrap="auto" w:vAnchor="text" w:hAnchor="margin" w:xAlign="right" w:y="1"/>
      <w:rPr>
        <w:rStyle w:val="12"/>
        <w:sz w:val="20"/>
      </w:rPr>
    </w:pPr>
    <w:r>
      <w:rPr>
        <w:rStyle w:val="12"/>
        <w:rFonts w:hint="eastAsia"/>
        <w:sz w:val="20"/>
      </w:rPr>
      <w:t>第</w:t>
    </w:r>
    <w:r>
      <w:rPr>
        <w:rStyle w:val="12"/>
        <w:sz w:val="20"/>
      </w:rPr>
      <w:fldChar w:fldCharType="begin"/>
    </w:r>
    <w:r>
      <w:rPr>
        <w:rStyle w:val="12"/>
        <w:sz w:val="20"/>
      </w:rPr>
      <w:instrText xml:space="preserve">PAGE  </w:instrText>
    </w:r>
    <w:r>
      <w:rPr>
        <w:rStyle w:val="12"/>
        <w:sz w:val="20"/>
      </w:rPr>
      <w:fldChar w:fldCharType="separate"/>
    </w:r>
    <w:r>
      <w:rPr>
        <w:rStyle w:val="12"/>
        <w:sz w:val="20"/>
      </w:rPr>
      <w:t>1</w:t>
    </w:r>
    <w:r>
      <w:rPr>
        <w:rStyle w:val="12"/>
        <w:sz w:val="20"/>
      </w:rPr>
      <w:fldChar w:fldCharType="end"/>
    </w:r>
    <w:r>
      <w:rPr>
        <w:rStyle w:val="12"/>
        <w:rFonts w:hint="eastAsia"/>
        <w:sz w:val="20"/>
      </w:rPr>
      <w:t>页</w:t>
    </w:r>
  </w:p>
  <w:p w14:paraId="672321E9">
    <w:pPr>
      <w:pStyle w:val="5"/>
      <w:ind w:right="360"/>
    </w:pP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8EE9D">
    <w:pPr>
      <w:pStyle w:val="6"/>
    </w:pPr>
    <w:r>
      <w:drawing>
        <wp:inline distT="0" distB="0" distL="114300" distR="114300">
          <wp:extent cx="1065530" cy="220345"/>
          <wp:effectExtent l="0" t="0" r="1270" b="825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
                  <a:stretch>
                    <a:fillRect/>
                  </a:stretch>
                </pic:blipFill>
                <pic:spPr>
                  <a:xfrm>
                    <a:off x="0" y="0"/>
                    <a:ext cx="1065530" cy="220345"/>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3829EF"/>
    <w:multiLevelType w:val="multilevel"/>
    <w:tmpl w:val="FE3829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00817E0A"/>
    <w:multiLevelType w:val="multilevel"/>
    <w:tmpl w:val="00817E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0554CB6B"/>
    <w:multiLevelType w:val="multilevel"/>
    <w:tmpl w:val="0554CB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CE76CF6"/>
    <w:multiLevelType w:val="singleLevel"/>
    <w:tmpl w:val="1CE76CF6"/>
    <w:lvl w:ilvl="0" w:tentative="0">
      <w:start w:val="1"/>
      <w:numFmt w:val="bullet"/>
      <w:lvlText w:val=""/>
      <w:lvlJc w:val="left"/>
      <w:pPr>
        <w:ind w:left="420" w:hanging="420"/>
      </w:pPr>
      <w:rPr>
        <w:rFonts w:hint="default" w:ascii="Wingdings" w:hAnsi="Wingdings"/>
      </w:rPr>
    </w:lvl>
  </w:abstractNum>
  <w:abstractNum w:abstractNumId="4">
    <w:nsid w:val="2B0D2F79"/>
    <w:multiLevelType w:val="singleLevel"/>
    <w:tmpl w:val="2B0D2F79"/>
    <w:lvl w:ilvl="0" w:tentative="0">
      <w:start w:val="1"/>
      <w:numFmt w:val="bullet"/>
      <w:lvlText w:val=""/>
      <w:lvlJc w:val="left"/>
      <w:pPr>
        <w:ind w:left="420" w:hanging="420"/>
      </w:pPr>
      <w:rPr>
        <w:rFonts w:hint="default" w:ascii="Wingdings" w:hAnsi="Wingdings"/>
      </w:rPr>
    </w:lvl>
  </w:abstractNum>
  <w:abstractNum w:abstractNumId="5">
    <w:nsid w:val="3F59BC4E"/>
    <w:multiLevelType w:val="multilevel"/>
    <w:tmpl w:val="3F59B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attachedTemplate r:id="rId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wYjJhZGQ0NWM1NWUzNjI5Njg2ZTdiMDM2OTQ0MWQifQ=="/>
  </w:docVars>
  <w:rsids>
    <w:rsidRoot w:val="444151DF"/>
    <w:rsid w:val="000C70E0"/>
    <w:rsid w:val="001A7AD2"/>
    <w:rsid w:val="001B0BC0"/>
    <w:rsid w:val="0020404D"/>
    <w:rsid w:val="00227D2D"/>
    <w:rsid w:val="00277007"/>
    <w:rsid w:val="002935C5"/>
    <w:rsid w:val="00376D26"/>
    <w:rsid w:val="00404648"/>
    <w:rsid w:val="004B12A8"/>
    <w:rsid w:val="007126A8"/>
    <w:rsid w:val="007923E9"/>
    <w:rsid w:val="00834D41"/>
    <w:rsid w:val="00882BF5"/>
    <w:rsid w:val="00A07642"/>
    <w:rsid w:val="00AD01F0"/>
    <w:rsid w:val="00AE2178"/>
    <w:rsid w:val="00B021C6"/>
    <w:rsid w:val="00BA4A93"/>
    <w:rsid w:val="00BE767F"/>
    <w:rsid w:val="00C14AF7"/>
    <w:rsid w:val="00CA7555"/>
    <w:rsid w:val="00D62A23"/>
    <w:rsid w:val="00E31D42"/>
    <w:rsid w:val="00E71F65"/>
    <w:rsid w:val="00EA24BB"/>
    <w:rsid w:val="00ED02DA"/>
    <w:rsid w:val="00EE07E1"/>
    <w:rsid w:val="00EE5E53"/>
    <w:rsid w:val="01FE56DD"/>
    <w:rsid w:val="06E95DE7"/>
    <w:rsid w:val="0C354C94"/>
    <w:rsid w:val="10631B19"/>
    <w:rsid w:val="10ED3781"/>
    <w:rsid w:val="136E6DFB"/>
    <w:rsid w:val="17EB49A8"/>
    <w:rsid w:val="1A2C531A"/>
    <w:rsid w:val="1FF759FE"/>
    <w:rsid w:val="24116E75"/>
    <w:rsid w:val="29D151B4"/>
    <w:rsid w:val="2C16447E"/>
    <w:rsid w:val="34BB131C"/>
    <w:rsid w:val="3516718D"/>
    <w:rsid w:val="3A4B781C"/>
    <w:rsid w:val="3D8C751D"/>
    <w:rsid w:val="41EC6FB9"/>
    <w:rsid w:val="429E4E3C"/>
    <w:rsid w:val="4437590B"/>
    <w:rsid w:val="444151DF"/>
    <w:rsid w:val="4D27359B"/>
    <w:rsid w:val="4E520D7B"/>
    <w:rsid w:val="4FAB39C4"/>
    <w:rsid w:val="50A867A1"/>
    <w:rsid w:val="53D10891"/>
    <w:rsid w:val="54865F53"/>
    <w:rsid w:val="5540344C"/>
    <w:rsid w:val="56A63783"/>
    <w:rsid w:val="57FD3876"/>
    <w:rsid w:val="58C779E0"/>
    <w:rsid w:val="6BB81476"/>
    <w:rsid w:val="6D5B2963"/>
    <w:rsid w:val="78AB00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unhideWhenUsed/>
    <w:qFormat/>
    <w:uiPriority w:val="99"/>
  </w:style>
  <w:style w:type="character" w:styleId="13">
    <w:name w:val="Hyperlink"/>
    <w:basedOn w:val="11"/>
    <w:unhideWhenUsed/>
    <w:qFormat/>
    <w:uiPriority w:val="99"/>
    <w:rPr>
      <w:color w:val="0563C1"/>
      <w:u w:val="single"/>
    </w:rPr>
  </w:style>
  <w:style w:type="character" w:customStyle="1" w:styleId="14">
    <w:name w:val="页脚 字符"/>
    <w:basedOn w:val="11"/>
    <w:link w:val="5"/>
    <w:qFormat/>
    <w:uiPriority w:val="99"/>
    <w:rPr>
      <w:sz w:val="18"/>
      <w:szCs w:val="18"/>
    </w:rPr>
  </w:style>
  <w:style w:type="character" w:customStyle="1" w:styleId="15">
    <w:name w:val="页眉 字符"/>
    <w:basedOn w:val="11"/>
    <w:link w:val="6"/>
    <w:qFormat/>
    <w:uiPriority w:val="99"/>
    <w:rPr>
      <w:sz w:val="18"/>
      <w:szCs w:val="18"/>
    </w:rPr>
  </w:style>
  <w:style w:type="character" w:customStyle="1" w:styleId="16">
    <w:name w:val="未处理的提及1"/>
    <w:basedOn w:val="11"/>
    <w:unhideWhenUsed/>
    <w:qFormat/>
    <w:uiPriority w:val="99"/>
    <w:rPr>
      <w:color w:val="808080"/>
      <w:shd w:val="clear" w:color="auto" w:fill="E6E6E6"/>
    </w:rPr>
  </w:style>
  <w:style w:type="paragraph" w:styleId="17">
    <w:name w:val="No Spacing"/>
    <w:qFormat/>
    <w:uiPriority w:val="1"/>
    <w:rPr>
      <w:rFonts w:ascii="等线" w:hAnsi="等线" w:eastAsia="Microsoft YaHei UI" w:cs="Times New Roman"/>
      <w:kern w:val="0"/>
      <w:sz w:val="22"/>
      <w:szCs w:val="22"/>
      <w:lang w:val="en-US" w:eastAsia="zh-CN" w:bidi="ar-SA"/>
    </w:rPr>
  </w:style>
  <w:style w:type="paragraph" w:styleId="18">
    <w:name w:val="List Paragraph"/>
    <w:basedOn w:val="1"/>
    <w:qFormat/>
    <w:uiPriority w:val="34"/>
    <w:pPr>
      <w:ind w:firstLine="420" w:firstLineChars="200"/>
    </w:pPr>
  </w:style>
  <w:style w:type="paragraph" w:customStyle="1" w:styleId="1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6177\AppData\Roaming\kingsoft\office6\templates\docerresourceshop\ugc\template\383554214474\fa48c078e55cf1b407ed29e1ec354832679604e3\&#25253;&#21578;.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报告.wpt</Template>
  <Pages>5</Pages>
  <Words>1287</Words>
  <Characters>1887</Characters>
  <Lines>1</Lines>
  <Paragraphs>1</Paragraphs>
  <TotalTime>8</TotalTime>
  <ScaleCrop>false</ScaleCrop>
  <LinksUpToDate>false</LinksUpToDate>
  <CharactersWithSpaces>1917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2025-05-14T08:16:00Z</dcterms:created>
  <dc:creator>今日上上签</dc:creator>
  <cp:lastModifiedBy>今日上上签</cp:lastModifiedBy>
  <dcterms:modified xsi:type="dcterms:W3CDTF">2026-03-06T14:20:45Z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DA6F216F9C72433BAF42067C8616260D_13</vt:lpwstr>
  </property>
  <property fmtid="{D5CDD505-2E9C-101B-9397-08002B2CF9AE}" pid="4" name="KSOTemplateDocerSaveRecord">
    <vt:lpwstr>eyJoZGlkIjoiZjkwYjJhZGQ0NWM1NWUzNjI5Njg2ZTdiMDM2OTQ0MWQiLCJ1c2VySWQiOiIyNDY4MTM4NTkifQ==</vt:lpwstr>
  </property>
</Properties>
</file>