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tblPr>
      <w:tblGrid>
        <w:gridCol w:w="7920"/>
      </w:tblGrid>
      <w:tr>
        <w:trPr>
          <w:tblHeader w:val="on"/>
        </w:trPr>
        <w:tc>
          <w:tcPr/>
          <w:p>
            <w:pPr>
              <w:pStyle w:val="Compact"/>
            </w:pPr>
            <w:r>
              <w:rPr>
                <w:rFonts w:hint="eastAsia"/>
                <w:b/>
                <w:bCs/>
              </w:rPr>
              <w:t xml:space="preserve">系统分析与设计</w:t>
            </w:r>
            <w:r>
              <w:rPr>
                <w:b/>
                <w:bCs/>
              </w:rPr>
              <w:t xml:space="preserve"> </w:t>
            </w:r>
            <w:r>
              <w:rPr>
                <w:rFonts w:hint="eastAsia"/>
                <w:b/>
                <w:bCs/>
              </w:rPr>
              <w:t xml:space="preserve">作业报告</w:t>
            </w:r>
          </w:p>
        </w:tc>
      </w:tr>
      <w:tr>
        <w:tc>
          <w:tcPr/>
          <w:p>
            <w:pPr>
              <w:pStyle w:val="Compact"/>
            </w:pPr>
            <w:r>
              <w:rPr>
                <w:rFonts w:hint="eastAsia"/>
              </w:rPr>
              <w:t xml:space="preserve">第</w:t>
            </w:r>
            <w:r>
              <w:t xml:space="preserve"> 2 </w:t>
            </w:r>
            <w:r>
              <w:rPr>
                <w:rFonts w:hint="eastAsia"/>
              </w:rPr>
              <w:t xml:space="preserve">次</w:t>
            </w:r>
          </w:p>
        </w:tc>
      </w:tr>
      <w:tr>
        <w:tc>
          <w:tcPr/>
          <w:p>
            <w:pPr>
              <w:pStyle w:val="Compact"/>
            </w:pPr>
            <w:r>
              <w:t xml:space="preserve"> </w:t>
            </w:r>
          </w:p>
        </w:tc>
      </w:tr>
      <w:tr>
        <w:tc>
          <w:tcPr/>
          <w:p>
            <w:pPr>
              <w:pStyle w:val="Compact"/>
            </w:pPr>
            <w:r>
              <w:t xml:space="preserve"> </w:t>
            </w:r>
          </w:p>
        </w:tc>
      </w:tr>
      <w:tr>
        <w:tc>
          <w:tcPr/>
          <w:p>
            <w:pPr>
              <w:pStyle w:val="Compact"/>
            </w:pPr>
            <w:r>
              <w:t xml:space="preserve"> </w:t>
            </w:r>
          </w:p>
        </w:tc>
      </w:tr>
      <w:tr>
        <w:tc>
          <w:tcPr/>
          <w:p>
            <w:pPr>
              <w:pStyle w:val="Compact"/>
            </w:pPr>
            <w:r>
              <w:t xml:space="preserve"> </w:t>
            </w:r>
          </w:p>
        </w:tc>
      </w:tr>
      <w:tr>
        <w:tc>
          <w:tcPr/>
          <w:p>
            <w:pPr>
              <w:pStyle w:val="Compact"/>
            </w:pPr>
            <w:r>
              <w:rPr>
                <w:rFonts w:hint="eastAsia"/>
                <w:b/>
                <w:bCs/>
              </w:rPr>
              <w:t xml:space="preserve">姓名</w:t>
            </w:r>
          </w:p>
        </w:tc>
      </w:tr>
      <w:tr>
        <w:tc>
          <w:tcPr/>
          <w:p>
            <w:pPr>
              <w:pStyle w:val="Compact"/>
            </w:pPr>
            <w:r>
              <w:rPr>
                <w:rFonts w:hint="eastAsia"/>
                <w:b/>
                <w:bCs/>
              </w:rPr>
              <w:t xml:space="preserve">班级</w:t>
            </w:r>
          </w:p>
        </w:tc>
      </w:tr>
      <w:tr>
        <w:tc>
          <w:tcPr/>
          <w:p>
            <w:pPr>
              <w:pStyle w:val="Compact"/>
            </w:pPr>
            <w:r>
              <w:rPr>
                <w:rFonts w:hint="eastAsia"/>
                <w:b/>
                <w:bCs/>
              </w:rPr>
              <w:t xml:space="preserve">学号</w:t>
            </w:r>
          </w:p>
        </w:tc>
      </w:tr>
      <w:tr>
        <w:tc>
          <w:tcPr/>
          <w:p>
            <w:pPr>
              <w:pStyle w:val="Compact"/>
            </w:pPr>
            <w:r>
              <w:rPr>
                <w:b/>
                <w:bCs/>
              </w:rPr>
              <w:t xml:space="preserve">Email</w:t>
            </w:r>
          </w:p>
        </w:tc>
      </w:tr>
      <w:tr>
        <w:tc>
          <w:tcPr/>
          <w:p>
            <w:pPr>
              <w:pStyle w:val="Compact"/>
            </w:pPr>
            <w:r>
              <w:rPr>
                <w:rFonts w:hint="eastAsia"/>
                <w:b/>
                <w:bCs/>
              </w:rPr>
              <w:t xml:space="preserve">日期</w:t>
            </w:r>
          </w:p>
        </w:tc>
      </w:tr>
    </w:tbl>
    <w:bookmarkStart w:id="35" w:name="作业4"/>
    <w:p>
      <w:pPr>
        <w:pStyle w:val="Heading1"/>
      </w:pPr>
      <w:r>
        <w:rPr>
          <w:rFonts w:hint="eastAsia"/>
        </w:rPr>
        <w:t xml:space="preserve">作业4:</w:t>
      </w:r>
    </w:p>
    <w:p>
      <w:pPr>
        <w:pStyle w:val="FirstParagraph"/>
      </w:pPr>
      <w:r>
        <w:rPr>
          <w:rFonts w:hint="eastAsia"/>
        </w:rPr>
        <w:t xml:space="preserve">某教育基金会捐助基金管理系统的基本功能如下:</w:t>
      </w:r>
      <w:r>
        <w:br/>
      </w:r>
      <w:r>
        <w:rPr>
          <w:rFonts w:hint="eastAsia"/>
        </w:rPr>
        <w:t xml:space="preserve">一由捐助者向基金会提出捐助请求，经身份确认后被接受，对捐助人进行登记并授予捐助证书，捐款存入银行;由教育单位提出用款申请，在进行相应合法性校验和核对相应的捐款存储后做出支出;每月给基金会的理事会一份财政状况报表，列出本月的收入和支出情况和资金余额。</w:t>
      </w:r>
      <w:r>
        <w:br/>
      </w:r>
      <w:r>
        <w:rPr>
          <w:rFonts w:hint="eastAsia"/>
          <w:b/>
          <w:bCs/>
        </w:rPr>
        <w:t xml:space="preserve">要求</w:t>
      </w:r>
      <w:r>
        <w:t xml:space="preserve">:</w:t>
      </w:r>
    </w:p>
    <w:p>
      <w:pPr>
        <w:numPr>
          <w:ilvl w:val="0"/>
          <w:numId w:val="1001"/>
        </w:numPr>
      </w:pPr>
      <w:r>
        <w:rPr>
          <w:rFonts w:hint="eastAsia"/>
        </w:rPr>
        <w:t xml:space="preserve">确定上述系统的数据源点和终点，画出该系统的顶层数据流图:</w:t>
      </w:r>
    </w:p>
    <w:p>
      <w:pPr>
        <w:numPr>
          <w:ilvl w:val="0"/>
          <w:numId w:val="1001"/>
        </w:numPr>
      </w:pPr>
      <w:r>
        <w:rPr>
          <w:rFonts w:hint="eastAsia"/>
        </w:rPr>
        <w:t xml:space="preserve">分析系统的主要功能，细化系统的顶层数据流图，画出系统的第层数据流图;</w:t>
      </w:r>
    </w:p>
    <w:p>
      <w:pPr>
        <w:numPr>
          <w:ilvl w:val="0"/>
          <w:numId w:val="1001"/>
        </w:numPr>
      </w:pPr>
      <w:r>
        <w:rPr>
          <w:rFonts w:hint="eastAsia"/>
        </w:rPr>
        <w:t xml:space="preserve">细化系统的各个主要功能，画出系统的第二层数据流图</w:t>
      </w:r>
    </w:p>
    <w:p>
      <w:pPr>
        <w:pStyle w:val="FirstParagraph"/>
      </w:pPr>
      <w:r>
        <w:rPr>
          <w:rFonts w:hint="eastAsia"/>
          <w:b/>
          <w:bCs/>
        </w:rPr>
        <w:t xml:space="preserve">提示:</w:t>
      </w:r>
    </w:p>
    <w:p>
      <w:pPr>
        <w:numPr>
          <w:ilvl w:val="0"/>
          <w:numId w:val="1002"/>
        </w:numPr>
      </w:pPr>
      <w:r>
        <w:rPr>
          <w:rFonts w:hint="eastAsia"/>
        </w:rPr>
        <w:t xml:space="preserve">系统中有三个实体:捐助者、教育单位、基金会的理事会;</w:t>
      </w:r>
    </w:p>
    <w:p>
      <w:pPr>
        <w:numPr>
          <w:ilvl w:val="0"/>
          <w:numId w:val="1002"/>
        </w:numPr>
      </w:pPr>
      <w:r>
        <w:rPr>
          <w:rFonts w:hint="eastAsia"/>
        </w:rPr>
        <w:t xml:space="preserve">系统的主要功能有:收入处理、支出处理、产生报表。其中收入处理可以细化为:接受请求(捐助请求)、确认身份和登记收入(存入款项);支出处理可以细化为:接受请求(用款请求)、合法性检查和登记支出(支出款项);</w:t>
      </w:r>
    </w:p>
    <w:p>
      <w:pPr>
        <w:numPr>
          <w:ilvl w:val="0"/>
          <w:numId w:val="1002"/>
        </w:numPr>
      </w:pPr>
      <w:r>
        <w:rPr>
          <w:rFonts w:hint="eastAsia"/>
        </w:rPr>
        <w:t xml:space="preserve">系统需要存储的信息:捐助者信息、教育单位信息收支状况信息。</w:t>
      </w:r>
    </w:p>
    <w:p>
      <w:pPr>
        <w:numPr>
          <w:ilvl w:val="0"/>
          <w:numId w:val="1002"/>
        </w:numPr>
      </w:pPr>
      <w:r>
        <w:rPr>
          <w:rFonts w:hint="eastAsia"/>
        </w:rPr>
        <w:t xml:space="preserve">提交时间:2024年10月24日</w:t>
      </w:r>
    </w:p>
    <w:p>
      <w:pPr>
        <w:numPr>
          <w:ilvl w:val="0"/>
          <w:numId w:val="1002"/>
        </w:numPr>
      </w:pPr>
      <w:r>
        <w:rPr>
          <w:rFonts w:hint="eastAsia"/>
        </w:rPr>
        <w:t xml:space="preserve">按照上述要求画出数据流图</w:t>
      </w:r>
    </w:p>
    <w:p>
      <w:pPr>
        <w:numPr>
          <w:ilvl w:val="0"/>
          <w:numId w:val="1002"/>
        </w:numPr>
      </w:pPr>
      <w:r>
        <w:rPr>
          <w:rFonts w:hint="eastAsia"/>
        </w:rPr>
        <w:t xml:space="preserve">作业最后包含实验总结和体会。</w:t>
      </w:r>
    </w:p>
    <w:p>
      <w:pPr>
        <w:pStyle w:val="FirstParagraph"/>
      </w:pPr>
      <w:r>
        <w:rPr>
          <w:rFonts w:hint="eastAsia"/>
          <w:b/>
          <w:bCs/>
        </w:rPr>
        <w:t xml:space="preserve">顶层数据流图</w:t>
      </w:r>
    </w:p>
    <w:p>
      <w:pPr>
        <w:pStyle w:val="BodyText"/>
      </w:pPr>
      <w:r>
        <w:drawing>
          <wp:inline>
            <wp:extent cx="5334000" cy="2418758"/>
            <wp:effectExtent b="0" l="0" r="0" t="0"/>
            <wp:docPr descr="image-20241023204447454" title="fig:" id="21" name="Picture"/>
            <a:graphic>
              <a:graphicData uri="http://schemas.openxmlformats.org/drawingml/2006/picture">
                <pic:pic>
                  <pic:nvPicPr>
                    <pic:cNvPr descr="C:\Users\86177\AppData\Roaming\Typora\typora-user-images\image-20241023204447454.png" id="22" name="Picture"/>
                    <pic:cNvPicPr>
                      <a:picLocks noChangeArrowheads="1" noChangeAspect="1"/>
                    </pic:cNvPicPr>
                  </pic:nvPicPr>
                  <pic:blipFill>
                    <a:blip r:embed="rId20"/>
                    <a:stretch>
                      <a:fillRect/>
                    </a:stretch>
                  </pic:blipFill>
                  <pic:spPr bwMode="auto">
                    <a:xfrm>
                      <a:off x="0" y="0"/>
                      <a:ext cx="5334000" cy="2418758"/>
                    </a:xfrm>
                    <a:prstGeom prst="rect">
                      <a:avLst/>
                    </a:prstGeom>
                    <a:noFill/>
                    <a:ln w="9525">
                      <a:noFill/>
                      <a:headEnd/>
                      <a:tailEnd/>
                    </a:ln>
                  </pic:spPr>
                </pic:pic>
              </a:graphicData>
            </a:graphic>
          </wp:inline>
        </w:drawing>
      </w:r>
    </w:p>
    <w:p>
      <w:pPr>
        <w:numPr>
          <w:ilvl w:val="0"/>
          <w:numId w:val="1003"/>
        </w:numPr>
      </w:pPr>
      <w:r>
        <w:t xml:space="preserve"> </w:t>
      </w:r>
      <w:r>
        <w:t xml:space="preserve"> </w:t>
      </w:r>
      <w:r>
        <w:t xml:space="preserve"> </w:t>
      </w:r>
    </w:p>
    <w:p>
      <w:pPr>
        <w:numPr>
          <w:ilvl w:val="1"/>
          <w:numId w:val="1004"/>
        </w:numPr>
      </w:pPr>
      <w:r>
        <w:rPr>
          <w:rFonts w:hint="eastAsia"/>
        </w:rPr>
        <w:t xml:space="preserve">数据源点：捐助者、教育单位、基金会的理事会。</w:t>
      </w:r>
    </w:p>
    <w:p>
      <w:pPr>
        <w:numPr>
          <w:ilvl w:val="1"/>
          <w:numId w:val="1004"/>
        </w:numPr>
      </w:pPr>
      <w:r>
        <w:rPr>
          <w:rFonts w:hint="eastAsia"/>
        </w:rPr>
        <w:t xml:space="preserve">数据终点：无特定单独的数据终点，数据在系统内流转并为各个实体提供信息服务。</w:t>
      </w:r>
    </w:p>
    <w:p>
      <w:pPr>
        <w:numPr>
          <w:ilvl w:val="0"/>
          <w:numId w:val="1003"/>
        </w:numPr>
      </w:pPr>
      <w:r>
        <w:rPr>
          <w:rFonts w:hint="eastAsia"/>
          <w:b/>
          <w:bCs/>
        </w:rPr>
        <w:t xml:space="preserve">绘制顶层数据流图</w:t>
      </w:r>
      <w:r>
        <w:rPr>
          <w:rFonts w:hint="eastAsia"/>
        </w:rPr>
        <w:t xml:space="preserve">：</w:t>
      </w:r>
    </w:p>
    <w:p>
      <w:pPr>
        <w:numPr>
          <w:ilvl w:val="1"/>
          <w:numId w:val="1005"/>
        </w:numPr>
      </w:pPr>
      <w:r>
        <w:rPr>
          <w:rFonts w:hint="eastAsia"/>
        </w:rPr>
        <w:t xml:space="preserve">捐助者向基金管理系统提出捐助请求，系统对捐助者进行身份确认后接受捐款并登记捐助者信息，同时授予捐助证书。</w:t>
      </w:r>
    </w:p>
    <w:p>
      <w:pPr>
        <w:numPr>
          <w:ilvl w:val="1"/>
          <w:numId w:val="1005"/>
        </w:numPr>
      </w:pPr>
      <w:r>
        <w:rPr>
          <w:rFonts w:hint="eastAsia"/>
        </w:rPr>
        <w:t xml:space="preserve">教育单位向基金管理系统提出用款申请，系统进行合法性校验和核对捐款存储后做出支出。</w:t>
      </w:r>
    </w:p>
    <w:p>
      <w:pPr>
        <w:numPr>
          <w:ilvl w:val="1"/>
          <w:numId w:val="1005"/>
        </w:numPr>
      </w:pPr>
      <w:r>
        <w:rPr>
          <w:rFonts w:hint="eastAsia"/>
        </w:rPr>
        <w:t xml:space="preserve">基金管理系统每月给基金会的理事会一份财政状况报表，列出本月的收入和支出情况及资金余额。</w:t>
      </w:r>
    </w:p>
    <w:p>
      <w:pPr>
        <w:pStyle w:val="FirstParagraph"/>
      </w:pPr>
    </w:p>
    <w:p>
      <w:pPr>
        <w:pStyle w:val="BodyText"/>
      </w:pPr>
      <w:r>
        <w:rPr>
          <w:rFonts w:hint="eastAsia"/>
          <w:b/>
          <w:bCs/>
        </w:rPr>
        <w:t xml:space="preserve">第一层数据流图</w:t>
      </w:r>
    </w:p>
    <w:p>
      <w:pPr>
        <w:pStyle w:val="BodyText"/>
      </w:pPr>
      <w:r>
        <w:drawing>
          <wp:inline>
            <wp:extent cx="5334000" cy="3285972"/>
            <wp:effectExtent b="0" l="0" r="0" t="0"/>
            <wp:docPr descr="image-20241023204614511" title="fig:" id="24" name="Picture"/>
            <a:graphic>
              <a:graphicData uri="http://schemas.openxmlformats.org/drawingml/2006/picture">
                <pic:pic>
                  <pic:nvPicPr>
                    <pic:cNvPr descr="C:\Users\86177\AppData\Roaming\Typora\typora-user-images\image-20241023204614511.png" id="25" name="Picture"/>
                    <pic:cNvPicPr>
                      <a:picLocks noChangeArrowheads="1" noChangeAspect="1"/>
                    </pic:cNvPicPr>
                  </pic:nvPicPr>
                  <pic:blipFill>
                    <a:blip r:embed="rId23"/>
                    <a:stretch>
                      <a:fillRect/>
                    </a:stretch>
                  </pic:blipFill>
                  <pic:spPr bwMode="auto">
                    <a:xfrm>
                      <a:off x="0" y="0"/>
                      <a:ext cx="5334000" cy="3285972"/>
                    </a:xfrm>
                    <a:prstGeom prst="rect">
                      <a:avLst/>
                    </a:prstGeom>
                    <a:noFill/>
                    <a:ln w="9525">
                      <a:noFill/>
                      <a:headEnd/>
                      <a:tailEnd/>
                    </a:ln>
                  </pic:spPr>
                </pic:pic>
              </a:graphicData>
            </a:graphic>
          </wp:inline>
        </w:drawing>
      </w:r>
    </w:p>
    <w:p>
      <w:pPr>
        <w:pStyle w:val="BodyText"/>
      </w:pPr>
    </w:p>
    <w:p>
      <w:pPr>
        <w:pStyle w:val="BodyText"/>
      </w:pPr>
    </w:p>
    <w:p>
      <w:pPr>
        <w:numPr>
          <w:ilvl w:val="0"/>
          <w:numId w:val="1006"/>
        </w:numPr>
      </w:pPr>
      <w:r>
        <w:rPr>
          <w:rFonts w:hint="eastAsia"/>
          <w:b/>
          <w:bCs/>
        </w:rPr>
        <w:t xml:space="preserve">分析系统主要功能</w:t>
      </w:r>
      <w:r>
        <w:rPr>
          <w:rFonts w:hint="eastAsia"/>
        </w:rPr>
        <w:t xml:space="preserve">：</w:t>
      </w:r>
    </w:p>
    <w:p>
      <w:pPr>
        <w:numPr>
          <w:ilvl w:val="1"/>
          <w:numId w:val="1007"/>
        </w:numPr>
      </w:pPr>
      <w:r>
        <w:rPr>
          <w:rFonts w:hint="eastAsia"/>
        </w:rPr>
        <w:t xml:space="preserve">收入处理：包括接受捐助请求、确认身份和登记收入（存入款项）。</w:t>
      </w:r>
    </w:p>
    <w:p>
      <w:pPr>
        <w:numPr>
          <w:ilvl w:val="1"/>
          <w:numId w:val="1007"/>
        </w:numPr>
      </w:pPr>
      <w:r>
        <w:rPr>
          <w:rFonts w:hint="eastAsia"/>
        </w:rPr>
        <w:t xml:space="preserve">支出处理：包括接受用款请求、合法性检查和登记支出（支出款项）。</w:t>
      </w:r>
    </w:p>
    <w:p>
      <w:pPr>
        <w:numPr>
          <w:ilvl w:val="1"/>
          <w:numId w:val="1007"/>
        </w:numPr>
      </w:pPr>
      <w:r>
        <w:rPr>
          <w:rFonts w:hint="eastAsia"/>
        </w:rPr>
        <w:t xml:space="preserve">产生报表：向基金会的理事会提供财政状况报表。</w:t>
      </w:r>
    </w:p>
    <w:p>
      <w:pPr>
        <w:numPr>
          <w:ilvl w:val="0"/>
          <w:numId w:val="1006"/>
        </w:numPr>
      </w:pPr>
      <w:r>
        <w:rPr>
          <w:rFonts w:hint="eastAsia"/>
          <w:b/>
          <w:bCs/>
        </w:rPr>
        <w:t xml:space="preserve">绘制第一层数据流图</w:t>
      </w:r>
      <w:r>
        <w:rPr>
          <w:rFonts w:hint="eastAsia"/>
        </w:rPr>
        <w:t xml:space="preserve">：</w:t>
      </w:r>
    </w:p>
    <w:p>
      <w:pPr>
        <w:numPr>
          <w:ilvl w:val="1"/>
          <w:numId w:val="1008"/>
        </w:numPr>
      </w:pPr>
      <w:r>
        <w:rPr>
          <w:rFonts w:hint="eastAsia"/>
        </w:rPr>
        <w:t xml:space="preserve">捐助者向收入处理模块提出捐助请求，收入处理模块进行身份确认后登记捐助者信息和存入款项，并向捐助者授予捐助证书。数据流向为：捐助者→收入处理模块（捐助请求），收入处理模块→捐助者信息存储（登记捐助者），收入处理模块→捐助者信息存储（登记捐助者信息），收入处理模块→捐助者（捐助证书），收入处理模块→收支状况信息（登记捐款）。</w:t>
      </w:r>
    </w:p>
    <w:p>
      <w:pPr>
        <w:numPr>
          <w:ilvl w:val="1"/>
          <w:numId w:val="1008"/>
        </w:numPr>
      </w:pPr>
      <w:r>
        <w:rPr>
          <w:rFonts w:hint="eastAsia"/>
        </w:rPr>
        <w:t xml:space="preserve">教育单位向支出处理模块提出用款申请，支出处理模块进行合法性检查和核对捐款存储后登记支出并支出款项。数据流向为：教育单位→支出处理模块（用款请求），支出处理模块→教育单位信息存储（查询合法性），支出处理模块→教育单位（支出），支出处理模块→支出信息存储（登记支出信息）。</w:t>
      </w:r>
    </w:p>
    <w:p>
      <w:pPr>
        <w:numPr>
          <w:ilvl w:val="1"/>
          <w:numId w:val="1008"/>
        </w:numPr>
      </w:pPr>
      <w:r>
        <w:rPr>
          <w:rFonts w:hint="eastAsia"/>
        </w:rPr>
        <w:t xml:space="preserve">收入处理模块和支出处理模块将数据传递给产生报表模块，产生报表模块每月向基金会的理事会提供财政状况报表。，收支状况信息→产生报表模块（收支信息），产生报表模块→基金会的理事会（财政状况报表）。</w:t>
      </w:r>
    </w:p>
    <w:p>
      <w:pPr>
        <w:pStyle w:val="FirstParagraph"/>
      </w:pPr>
      <w:r>
        <w:rPr>
          <w:rFonts w:hint="eastAsia"/>
        </w:rPr>
        <w:t xml:space="preserve">第二层设计</w:t>
      </w:r>
    </w:p>
    <w:p>
      <w:pPr>
        <w:pStyle w:val="BodyText"/>
      </w:pPr>
    </w:p>
    <w:p>
      <w:pPr>
        <w:pStyle w:val="BodyText"/>
      </w:pPr>
      <w:r>
        <w:drawing>
          <wp:inline>
            <wp:extent cx="5334000" cy="1131762"/>
            <wp:effectExtent b="0" l="0" r="0" t="0"/>
            <wp:docPr descr="image-20241023204702609" title="fig:" id="27" name="Picture"/>
            <a:graphic>
              <a:graphicData uri="http://schemas.openxmlformats.org/drawingml/2006/picture">
                <pic:pic>
                  <pic:nvPicPr>
                    <pic:cNvPr descr="C:\Users\86177\AppData\Roaming\Typora\typora-user-images\image-20241023204702609.png" id="28" name="Picture"/>
                    <pic:cNvPicPr>
                      <a:picLocks noChangeArrowheads="1" noChangeAspect="1"/>
                    </pic:cNvPicPr>
                  </pic:nvPicPr>
                  <pic:blipFill>
                    <a:blip r:embed="rId26"/>
                    <a:stretch>
                      <a:fillRect/>
                    </a:stretch>
                  </pic:blipFill>
                  <pic:spPr bwMode="auto">
                    <a:xfrm>
                      <a:off x="0" y="0"/>
                      <a:ext cx="5334000" cy="1131762"/>
                    </a:xfrm>
                    <a:prstGeom prst="rect">
                      <a:avLst/>
                    </a:prstGeom>
                    <a:noFill/>
                    <a:ln w="9525">
                      <a:noFill/>
                      <a:headEnd/>
                      <a:tailEnd/>
                    </a:ln>
                  </pic:spPr>
                </pic:pic>
              </a:graphicData>
            </a:graphic>
          </wp:inline>
        </w:drawing>
      </w:r>
    </w:p>
    <w:p>
      <w:pPr>
        <w:pStyle w:val="BodyText"/>
      </w:pPr>
    </w:p>
    <w:p>
      <w:pPr>
        <w:numPr>
          <w:ilvl w:val="0"/>
          <w:numId w:val="1009"/>
        </w:numPr>
      </w:pPr>
      <w:r>
        <w:rPr>
          <w:rFonts w:hint="eastAsia"/>
        </w:rPr>
        <w:t xml:space="preserve">收入处理：</w:t>
      </w:r>
    </w:p>
    <w:p>
      <w:pPr>
        <w:numPr>
          <w:ilvl w:val="1"/>
          <w:numId w:val="1010"/>
        </w:numPr>
      </w:pPr>
      <w:r>
        <w:rPr>
          <w:rFonts w:hint="eastAsia"/>
        </w:rPr>
        <w:t xml:space="preserve">接受请求（捐助请求）：接收捐助者的捐助请求信息。</w:t>
      </w:r>
    </w:p>
    <w:p>
      <w:pPr>
        <w:numPr>
          <w:ilvl w:val="1"/>
          <w:numId w:val="1010"/>
        </w:numPr>
      </w:pPr>
      <w:r>
        <w:rPr>
          <w:rFonts w:hint="eastAsia"/>
        </w:rPr>
        <w:t xml:space="preserve">确认身份：对捐助者身份进行确认，可能涉及查询捐助者信息存储。</w:t>
      </w:r>
    </w:p>
    <w:p>
      <w:pPr>
        <w:numPr>
          <w:ilvl w:val="1"/>
          <w:numId w:val="1010"/>
        </w:numPr>
      </w:pPr>
      <w:r>
        <w:rPr>
          <w:rFonts w:hint="eastAsia"/>
        </w:rPr>
        <w:t xml:space="preserve">登记收入（存入款项）：将捐款登记到捐助资金存储，并登记捐助者信息和捐款金额等。</w:t>
      </w:r>
    </w:p>
    <w:p>
      <w:pPr>
        <w:pStyle w:val="FirstParagraph"/>
      </w:pPr>
      <w:r>
        <w:drawing>
          <wp:inline>
            <wp:extent cx="5334000" cy="1025580"/>
            <wp:effectExtent b="0" l="0" r="0" t="0"/>
            <wp:docPr descr="" title="fig:" id="30" name="Picture"/>
            <a:graphic>
              <a:graphicData uri="http://schemas.openxmlformats.org/drawingml/2006/picture">
                <pic:pic>
                  <pic:nvPicPr>
                    <pic:cNvPr descr="C:\Users\86177\AppData\Roaming\Typora\typora-user-images\image-20241023204733282.png" id="31" name="Picture"/>
                    <pic:cNvPicPr>
                      <a:picLocks noChangeArrowheads="1" noChangeAspect="1"/>
                    </pic:cNvPicPr>
                  </pic:nvPicPr>
                  <pic:blipFill>
                    <a:blip r:embed="rId29"/>
                    <a:stretch>
                      <a:fillRect/>
                    </a:stretch>
                  </pic:blipFill>
                  <pic:spPr bwMode="auto">
                    <a:xfrm>
                      <a:off x="0" y="0"/>
                      <a:ext cx="5334000" cy="1025580"/>
                    </a:xfrm>
                    <a:prstGeom prst="rect">
                      <a:avLst/>
                    </a:prstGeom>
                    <a:noFill/>
                    <a:ln w="9525">
                      <a:noFill/>
                      <a:headEnd/>
                      <a:tailEnd/>
                    </a:ln>
                  </pic:spPr>
                </pic:pic>
              </a:graphicData>
            </a:graphic>
          </wp:inline>
        </w:drawing>
      </w:r>
    </w:p>
    <w:p>
      <w:pPr>
        <w:numPr>
          <w:ilvl w:val="0"/>
          <w:numId w:val="1011"/>
        </w:numPr>
      </w:pPr>
      <w:r>
        <w:rPr>
          <w:rFonts w:hint="eastAsia"/>
        </w:rPr>
        <w:t xml:space="preserve">支出处理：</w:t>
      </w:r>
    </w:p>
    <w:p>
      <w:pPr>
        <w:numPr>
          <w:ilvl w:val="1"/>
          <w:numId w:val="1012"/>
        </w:numPr>
      </w:pPr>
      <w:r>
        <w:rPr>
          <w:rFonts w:hint="eastAsia"/>
        </w:rPr>
        <w:t xml:space="preserve">接受请求（用款请求）：接收教育单位的用款请求信息。</w:t>
      </w:r>
    </w:p>
    <w:p>
      <w:pPr>
        <w:numPr>
          <w:ilvl w:val="1"/>
          <w:numId w:val="1012"/>
        </w:numPr>
      </w:pPr>
      <w:r>
        <w:rPr>
          <w:rFonts w:hint="eastAsia"/>
        </w:rPr>
        <w:t xml:space="preserve">合法性检查：检查用款申请的合法性，可能涉及查询教育单位信息存储和收支状况信息存储。</w:t>
      </w:r>
    </w:p>
    <w:p>
      <w:pPr>
        <w:numPr>
          <w:ilvl w:val="1"/>
          <w:numId w:val="1012"/>
        </w:numPr>
      </w:pPr>
      <w:r>
        <w:rPr>
          <w:rFonts w:hint="eastAsia"/>
        </w:rPr>
        <w:t xml:space="preserve">登记支出（支出款项）：登记支出信息并从捐助资金存储中扣除相应款项。</w:t>
      </w:r>
    </w:p>
    <w:p>
      <w:pPr>
        <w:pStyle w:val="FirstParagraph"/>
      </w:pPr>
      <w:r>
        <w:drawing>
          <wp:inline>
            <wp:extent cx="5334000" cy="1271892"/>
            <wp:effectExtent b="0" l="0" r="0" t="0"/>
            <wp:docPr descr="" title="fig:" id="33" name="Picture"/>
            <a:graphic>
              <a:graphicData uri="http://schemas.openxmlformats.org/drawingml/2006/picture">
                <pic:pic>
                  <pic:nvPicPr>
                    <pic:cNvPr descr="C:\Users\86177\AppData\Roaming\Typora\typora-user-images\image-20241023221149141.png" id="34" name="Picture"/>
                    <pic:cNvPicPr>
                      <a:picLocks noChangeArrowheads="1" noChangeAspect="1"/>
                    </pic:cNvPicPr>
                  </pic:nvPicPr>
                  <pic:blipFill>
                    <a:blip r:embed="rId32"/>
                    <a:stretch>
                      <a:fillRect/>
                    </a:stretch>
                  </pic:blipFill>
                  <pic:spPr bwMode="auto">
                    <a:xfrm>
                      <a:off x="0" y="0"/>
                      <a:ext cx="5334000" cy="1271892"/>
                    </a:xfrm>
                    <a:prstGeom prst="rect">
                      <a:avLst/>
                    </a:prstGeom>
                    <a:noFill/>
                    <a:ln w="9525">
                      <a:noFill/>
                      <a:headEnd/>
                      <a:tailEnd/>
                    </a:ln>
                  </pic:spPr>
                </pic:pic>
              </a:graphicData>
            </a:graphic>
          </wp:inline>
        </w:drawing>
      </w:r>
    </w:p>
    <w:p>
      <w:pPr>
        <w:numPr>
          <w:ilvl w:val="0"/>
          <w:numId w:val="1013"/>
        </w:numPr>
      </w:pPr>
      <w:r>
        <w:rPr>
          <w:rFonts w:hint="eastAsia"/>
        </w:rPr>
        <w:t xml:space="preserve">产生报表：</w:t>
      </w:r>
    </w:p>
    <w:p>
      <w:pPr>
        <w:numPr>
          <w:ilvl w:val="1"/>
          <w:numId w:val="1014"/>
        </w:numPr>
      </w:pPr>
      <w:r>
        <w:rPr>
          <w:rFonts w:hint="eastAsia"/>
        </w:rPr>
        <w:t xml:space="preserve">生成报表：根据已有的数据生成财政状况报表。</w:t>
      </w:r>
    </w:p>
    <w:p>
      <w:pPr>
        <w:numPr>
          <w:ilvl w:val="1"/>
          <w:numId w:val="1014"/>
        </w:numPr>
      </w:pPr>
      <w:r>
        <w:rPr>
          <w:rFonts w:hint="eastAsia"/>
        </w:rPr>
        <w:t xml:space="preserve">发送报表：将报表发送给基金会的理事会。</w:t>
      </w:r>
    </w:p>
    <w:p>
      <w:pPr>
        <w:pStyle w:val="FirstParagraph"/>
      </w:pPr>
    </w:p>
    <w:p>
      <w:pPr>
        <w:pStyle w:val="BodyText"/>
      </w:pPr>
      <w:r>
        <w:rPr>
          <w:rFonts w:hint="eastAsia"/>
          <w:b/>
          <w:bCs/>
        </w:rPr>
        <w:t xml:space="preserve">实验总结和体会</w:t>
      </w:r>
    </w:p>
    <w:p>
      <w:pPr>
        <w:pStyle w:val="BodyText"/>
      </w:pPr>
      <w:r>
        <w:rPr>
          <w:rFonts w:hint="eastAsia"/>
          <w:b/>
          <w:bCs/>
        </w:rPr>
        <w:t xml:space="preserve">一、对系统分析的认识深化</w:t>
      </w:r>
    </w:p>
    <w:p>
      <w:pPr>
        <w:pStyle w:val="BodyText"/>
      </w:pPr>
      <w:r>
        <w:rPr>
          <w:rFonts w:hint="eastAsia"/>
        </w:rPr>
        <w:t xml:space="preserve">在整个设计过程中，深刻认识到系统分析是软件开发的关键环节。明确数据源点和终点，就如同为系统搭建了与外部世界沟通的桥梁，让我们清晰地看到系统从哪里获取数据，又将结果传递到何处。对系统主要功能的逐步细化，如同层层剥开洋葱，让复杂的业务流程逐渐清晰地展现在眼前。从顶层数据流图到第一层、第二层数据流图的绘制，每一步都是对系统理解的深入。这种逐步深入的分析方法，让我们能够全面、细致地把握系统的各个方面，避免在开发过程中出现重大的设计缺陷。</w:t>
      </w:r>
    </w:p>
    <w:p>
      <w:pPr>
        <w:pStyle w:val="BodyText"/>
      </w:pPr>
      <w:r>
        <w:rPr>
          <w:rFonts w:hint="eastAsia"/>
          <w:b/>
          <w:bCs/>
        </w:rPr>
        <w:t xml:space="preserve">二、对数据流动的关注</w:t>
      </w:r>
    </w:p>
    <w:p>
      <w:pPr>
        <w:pStyle w:val="BodyText"/>
      </w:pPr>
      <w:r>
        <w:rPr>
          <w:rFonts w:hint="eastAsia"/>
        </w:rPr>
        <w:t xml:space="preserve">数据流图的绘制让我高度关注数据的流动轨迹。在这个教育基金会捐助基金管理系统中，数据的流动涉及捐助者、教育单位和基金会理事会三个重要实体。每一笔捐款的流入、每一笔用款申请的处理以及每月财政状况报表的生成，都代表着数据的动态变化。通过追踪这些数据的流动，我们可以更好地优化系统的性能，确保数据的准确性和及时性。例如，在收入处理环节，严格的身份确认和登记收入流程可以保证捐助者信息的真实性和捐款的安全存入；在支出处理环节，合法性检查和登记支出可以确保资金的合理使用。</w:t>
      </w:r>
    </w:p>
    <w:p>
      <w:pPr>
        <w:pStyle w:val="BodyText"/>
      </w:pPr>
      <w:r>
        <w:rPr>
          <w:rFonts w:hint="eastAsia"/>
        </w:rPr>
        <w:t xml:space="preserve">通过这次实验，我不仅在技术层面上提升了自己的系统分析和设计能力，还在思维方式和工作方法上得到了锻炼。学会了如何从整体到局部、从宏观到微观地分析问题，如何运用结构化的方法将复杂的系统分解为易于管理的模块。</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2024-10-23T14:17:18Z</dcterms:created>
  <dcterms:modified xsi:type="dcterms:W3CDTF">2024-10-23T14:17:18Z</dcterms:modified>
</cp:coreProperties>
</file>

<file path=docProps/custom.xml><?xml version="1.0" encoding="utf-8"?>
<Properties xmlns="http://schemas.openxmlformats.org/officeDocument/2006/custom-properties" xmlns:vt="http://schemas.openxmlformats.org/officeDocument/2006/docPropsVTypes"/>
</file>