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E49BC" w14:textId="77777777" w:rsidR="003376FB" w:rsidRDefault="003376FB" w:rsidP="003376FB"/>
    <w:p w14:paraId="78BFACDA" w14:textId="77777777" w:rsidR="003376FB" w:rsidRDefault="003376FB" w:rsidP="003376FB">
      <w:r>
        <w:t>Reviewer 1</w:t>
      </w:r>
    </w:p>
    <w:p w14:paraId="6C571530" w14:textId="77777777" w:rsidR="003376FB" w:rsidRDefault="003376FB" w:rsidP="003376FB">
      <w:r>
        <w:t>3. The description of the data is not detailed enough. Key information is needed on sampling methods, analytical procedures, temporal resolution, sample size, and the proportion of observed versus imputed values. Without these details, it is difficult to assess the reliability and reproducibility of the analysis.</w:t>
      </w:r>
    </w:p>
    <w:p w14:paraId="617F7298" w14:textId="24F63759" w:rsidR="003376FB" w:rsidRPr="003376FB" w:rsidRDefault="003376FB" w:rsidP="003376FB">
      <w:pPr>
        <w:rPr>
          <w:color w:val="0070C0"/>
        </w:rPr>
      </w:pPr>
      <w:r w:rsidRPr="003376FB">
        <w:rPr>
          <w:color w:val="0070C0"/>
        </w:rPr>
        <w:t>A//</w:t>
      </w:r>
    </w:p>
    <w:p w14:paraId="63D4C527" w14:textId="77777777" w:rsidR="003376FB" w:rsidRDefault="003376FB" w:rsidP="003376FB">
      <w:r>
        <w:t>4. The effect of preprocessing should be addressed more carefully. Since the time series were reconstructed using interpolation, gap filling, smoothing, and other steps, the authors should clarify how much of the final series is based on actual observations and how much may be influenced by preprocessing.</w:t>
      </w:r>
    </w:p>
    <w:p w14:paraId="62447EB8" w14:textId="77777777" w:rsidR="003376FB" w:rsidRPr="003376FB" w:rsidRDefault="003376FB" w:rsidP="003376FB">
      <w:pPr>
        <w:rPr>
          <w:color w:val="0070C0"/>
        </w:rPr>
      </w:pPr>
      <w:r w:rsidRPr="003376FB">
        <w:rPr>
          <w:color w:val="0070C0"/>
        </w:rPr>
        <w:t>A//</w:t>
      </w:r>
    </w:p>
    <w:p w14:paraId="749C469A" w14:textId="77777777" w:rsidR="003376FB" w:rsidRDefault="003376FB" w:rsidP="003376FB">
      <w:r>
        <w:t>6. The evaluation of the 7-day forecast is not fully convincing. Although the reported errors are acceptable, the figures suggest a possible temporal shift between predicted and observed chlorophyll-a dynamics. For bloom warning applications, this issue is important and should be assessed explicitly.</w:t>
      </w:r>
    </w:p>
    <w:p w14:paraId="78BE3D9F" w14:textId="77777777" w:rsidR="003376FB" w:rsidRPr="003376FB" w:rsidRDefault="003376FB" w:rsidP="003376FB">
      <w:pPr>
        <w:rPr>
          <w:color w:val="0070C0"/>
        </w:rPr>
      </w:pPr>
      <w:r w:rsidRPr="003376FB">
        <w:rPr>
          <w:color w:val="0070C0"/>
        </w:rPr>
        <w:t>A//</w:t>
      </w:r>
    </w:p>
    <w:p w14:paraId="2A4D6F31" w14:textId="77777777" w:rsidR="003376FB" w:rsidRDefault="003376FB" w:rsidP="003376FB">
      <w:r>
        <w:t>7. The analysis of threshold exceedance is too descriptive in its current form. If the authors wish to highlight the management relevance of the study, this section should include more quantitative analysis rather than only visual or narrative description.</w:t>
      </w:r>
    </w:p>
    <w:p w14:paraId="354EE25E" w14:textId="77777777" w:rsidR="003376FB" w:rsidRPr="003376FB" w:rsidRDefault="003376FB" w:rsidP="003376FB">
      <w:pPr>
        <w:rPr>
          <w:color w:val="0070C0"/>
        </w:rPr>
      </w:pPr>
      <w:r w:rsidRPr="003376FB">
        <w:rPr>
          <w:color w:val="0070C0"/>
        </w:rPr>
        <w:t>A//</w:t>
      </w:r>
    </w:p>
    <w:p w14:paraId="01753ADC" w14:textId="77777777" w:rsidR="003376FB" w:rsidRDefault="003376FB" w:rsidP="003376FB">
      <w:r>
        <w:t>Reviewer 3</w:t>
      </w:r>
    </w:p>
    <w:p w14:paraId="253FAEA0" w14:textId="77777777" w:rsidR="003376FB" w:rsidRPr="003376FB" w:rsidRDefault="003376FB" w:rsidP="003376FB">
      <w:pPr>
        <w:rPr>
          <w:color w:val="0070C0"/>
        </w:rPr>
      </w:pPr>
      <w:r>
        <w:t>2. In Section 2.3, the manuscript mentions establishing empirical and semi-empirical relationships between satellite spectral indices and in-situ data for modeling. However, it fails to explain what these relationships actually are or how they were validated. Furthermore, it remains completely unclear how the subsequent machine learning models actually utilize these "empirical relationships." The authors need to explicitly present their remote sensing inversion algorithms, provide validation metrics for the satellite-derived estimates, and clearly explain how this satellite data is integrated into the final forecasting pipeline.</w:t>
      </w:r>
      <w:r>
        <w:br/>
      </w:r>
      <w:r w:rsidRPr="003376FB">
        <w:rPr>
          <w:color w:val="0070C0"/>
        </w:rPr>
        <w:t>A//</w:t>
      </w:r>
    </w:p>
    <w:p w14:paraId="095FCDE3" w14:textId="171AEC72" w:rsidR="003376FB" w:rsidRDefault="003376FB" w:rsidP="003376FB"/>
    <w:p w14:paraId="3B6A2747" w14:textId="77777777" w:rsidR="003376FB" w:rsidRDefault="003376FB" w:rsidP="003376FB">
      <w:r>
        <w:lastRenderedPageBreak/>
        <w:t>3. Similar to the previous question, the manuscript's title and abstract heavily emphasize the integration of "Satellite Observations and Machine Learning." However, a detailed review of the methodology (Sections 2.4 and 2.5) reveals that the core foundation models (TimesFM, Chronos, etc.) only utilize univariate time-series data of Chlorophyll-a. There is no evidence showing how satellite-derived spatial predictors are actually ingested into these forecasting architectures. The study overstates its methodological integration, and the title is scientifically misleading.</w:t>
      </w:r>
    </w:p>
    <w:p w14:paraId="72719B68" w14:textId="209EF59D" w:rsidR="003376FB" w:rsidRPr="003376FB" w:rsidRDefault="003376FB" w:rsidP="003376FB">
      <w:pPr>
        <w:rPr>
          <w:color w:val="0070C0"/>
        </w:rPr>
      </w:pPr>
      <w:r w:rsidRPr="003376FB">
        <w:rPr>
          <w:color w:val="0070C0"/>
        </w:rPr>
        <w:t>A//</w:t>
      </w:r>
      <w:r>
        <w:br/>
      </w:r>
      <w:r>
        <w:t>4. In Section 2.5, the manuscript devotes a significant amount of space—spanning several pages with standard mathematical equations—to describing the theoretical backgrounds of publicly available models. Since the study applies these off-the-shelf models without proposing any novel algorithmic or architectural improvements, this textbook-level description is unnecessary and severely dilutes the paper's actual scientific contribution. I recommend drastically condensing Section 2.5. The authors should simply introduce the selected models, provide the appropriate academic citations, and focus exclusively on the specific configurations, hyperparameters, and input/output designs utilized in this study. Any lengthy architectural derivations should be completely removed or moved to the Supplementary Material. Furthermore, given the absence of methodological innovations to the models themselves, the overall scientific contribution of the current manuscript may be insufficient for the standards of this journal. To strengthen the paper's value, I suggest adding an in-depth application analysis of the forecasting results.</w:t>
      </w:r>
    </w:p>
    <w:p w14:paraId="1A7DE34D" w14:textId="25883B8A" w:rsidR="003376FB" w:rsidRPr="003376FB" w:rsidRDefault="003376FB" w:rsidP="003376FB">
      <w:pPr>
        <w:rPr>
          <w:color w:val="0070C0"/>
        </w:rPr>
      </w:pPr>
      <w:r w:rsidRPr="003376FB">
        <w:rPr>
          <w:color w:val="0070C0"/>
        </w:rPr>
        <w:t>A//</w:t>
      </w:r>
    </w:p>
    <w:p w14:paraId="0B63C764" w14:textId="0D413AEA" w:rsidR="003376FB" w:rsidRDefault="003376FB" w:rsidP="003376FB">
      <w:r>
        <w:t>5. In Section 2.4.1, the authors state they used "day-of-year climatological imputation" to convert irregular in-situ sampling into a continuous daily frequency. Given that in-situ sampling of lakes is typically infrequent, applying a 1-day horizon forecast on heavily imputed daily data raises a methodological concern. It is highly likely the model is merely predicting the climatological mean used for the imputation itself, rather than actual ecological dynamics. This challenges the reported "near-perfect" agreement. The authors must clarify the exact original sampling frequency and robustly prove the models are not just learning the imputation logic.</w:t>
      </w:r>
    </w:p>
    <w:p w14:paraId="7D4C2A07" w14:textId="75AA14D7" w:rsidR="003376FB" w:rsidRPr="003376FB" w:rsidRDefault="003376FB" w:rsidP="003376FB">
      <w:pPr>
        <w:rPr>
          <w:color w:val="0070C0"/>
        </w:rPr>
      </w:pPr>
      <w:r w:rsidRPr="003376FB">
        <w:rPr>
          <w:color w:val="0070C0"/>
        </w:rPr>
        <w:t>A//</w:t>
      </w:r>
    </w:p>
    <w:p w14:paraId="0DE4FC4E" w14:textId="77777777" w:rsidR="003376FB" w:rsidRDefault="003376FB" w:rsidP="003376FB">
      <w:r>
        <w:t>//Aqui puedo explicar la parte de las mediciones in-situ por las boyas y tu la parte que habla de la imputation logic etc.</w:t>
      </w:r>
    </w:p>
    <w:p w14:paraId="24AFFFEC" w14:textId="77777777" w:rsidR="003376FB" w:rsidRDefault="003376FB" w:rsidP="003376FB">
      <w:r>
        <w:t xml:space="preserve">7. The Discussion section overall lacks sufficient depth and would benefit from a more explicit and structured analysis of the sources of uncertainty within the proposed </w:t>
      </w:r>
      <w:r>
        <w:lastRenderedPageBreak/>
        <w:t xml:space="preserve">forecasting framework. Currently, the manuscript attributes medium- to long-term forecast degradation almost exclusively to "intrinsic ecological unpredictability". It fails to clearly distinguish between uncertainties arising from: (1) satellite retrieval limitations, (2) spatiotemporal mismatches between point-based in-situ samples and satellite pixels, or (3) structural artifacts introduced by the daily data imputation process. </w:t>
      </w:r>
    </w:p>
    <w:p w14:paraId="215755AE" w14:textId="77777777" w:rsidR="003376FB" w:rsidRDefault="003376FB" w:rsidP="003376FB">
      <w:r>
        <w:t>Furthermore, while Section 2.4.4 explicitly mentions generating probabilistic forecasts (mapping to the 10th, 50th, and 90th percentiles), any discussion or visualization of these predictive uncertainty bounds is entirely absent from the results and discussion. The authors must expand this section to critically examine these distinct error sources and their relative impacts on model reliability.</w:t>
      </w:r>
    </w:p>
    <w:p w14:paraId="31B9C301" w14:textId="093CFBF7" w:rsidR="003376FB" w:rsidRPr="003376FB" w:rsidRDefault="003376FB" w:rsidP="003376FB">
      <w:pPr>
        <w:rPr>
          <w:color w:val="0070C0"/>
        </w:rPr>
      </w:pPr>
      <w:r w:rsidRPr="003376FB">
        <w:rPr>
          <w:color w:val="0070C0"/>
        </w:rPr>
        <w:t>A//</w:t>
      </w:r>
    </w:p>
    <w:p w14:paraId="2E7EC642" w14:textId="77777777" w:rsidR="003376FB" w:rsidRDefault="003376FB" w:rsidP="003376FB">
      <w:r>
        <w:t>8. The models are trained and evaluated independently on the Pucon and Poza stations. While the results are promising at a 1-day horizon, there is no cross-site validation presented. To prove the generalizability of these foundation models in lake ecosystems, the authors should test whether a model trained on Pucon data can accurately predict dynamics at La Poza, or validate the framework on other Patagonian lakes.</w:t>
      </w:r>
    </w:p>
    <w:p w14:paraId="666D68B8" w14:textId="46E27D54" w:rsidR="003376FB" w:rsidRPr="003376FB" w:rsidRDefault="003376FB" w:rsidP="003376FB">
      <w:pPr>
        <w:rPr>
          <w:color w:val="0070C0"/>
        </w:rPr>
      </w:pPr>
      <w:r w:rsidRPr="003376FB">
        <w:rPr>
          <w:color w:val="0070C0"/>
        </w:rPr>
        <w:t>A//</w:t>
      </w:r>
    </w:p>
    <w:p w14:paraId="5088A7D8" w14:textId="77777777" w:rsidR="003376FB" w:rsidRDefault="003376FB" w:rsidP="003376FB">
      <w:r>
        <w:t>9. Figure 2 is unreadable at 100% scale. The text is too small, and the excessive whitespace makes it visually unappealing. Please redraw the figure to improve its legibility.</w:t>
      </w:r>
    </w:p>
    <w:p w14:paraId="5857E949" w14:textId="16EB20E8" w:rsidR="003376FB" w:rsidRPr="003376FB" w:rsidRDefault="003376FB" w:rsidP="003376FB">
      <w:pPr>
        <w:rPr>
          <w:color w:val="0070C0"/>
        </w:rPr>
      </w:pPr>
      <w:r w:rsidRPr="003376FB">
        <w:rPr>
          <w:color w:val="0070C0"/>
        </w:rPr>
        <w:t>A//</w:t>
      </w:r>
    </w:p>
    <w:p w14:paraId="6957D4C4" w14:textId="77777777" w:rsidR="003376FB" w:rsidRDefault="003376FB" w:rsidP="003376FB">
      <w:r>
        <w:t>10. While Figure 2 outlines the preprocessing steps, the manuscript lacks a clear, overarching technical flowchart detailing the entire methodology. Given the complex integration of various data sources and multiple foundation models, a comprehensive roadmap is highly necessary. The authors should include a high-quality flowchart illustrating the end-to-end workflow—from data acquisition and feature engineering to model training, evaluation, and forecasting—to significantly improve the manuscript's readability and structural clarity.</w:t>
      </w:r>
    </w:p>
    <w:p w14:paraId="698A43EF" w14:textId="7C7C3D13" w:rsidR="003376FB" w:rsidRPr="003376FB" w:rsidRDefault="003376FB" w:rsidP="003376FB">
      <w:pPr>
        <w:rPr>
          <w:color w:val="0070C0"/>
        </w:rPr>
      </w:pPr>
      <w:r w:rsidRPr="003376FB">
        <w:rPr>
          <w:color w:val="0070C0"/>
        </w:rPr>
        <w:t>A//</w:t>
      </w:r>
    </w:p>
    <w:p w14:paraId="1048E1D6" w14:textId="785D14C4" w:rsidR="003E58D2" w:rsidRDefault="003376FB" w:rsidP="003376FB">
      <w:r>
        <w:t>//creo que pide un resumen metodologico en figura</w:t>
      </w:r>
    </w:p>
    <w:sectPr w:rsidR="003E58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6FB"/>
    <w:rsid w:val="002C78EC"/>
    <w:rsid w:val="003376FB"/>
    <w:rsid w:val="003E58D2"/>
    <w:rsid w:val="009F70E4"/>
  </w:rsids>
  <m:mathPr>
    <m:mathFont m:val="Cambria Math"/>
    <m:brkBin m:val="before"/>
    <m:brkBinSub m:val="--"/>
    <m:smallFrac m:val="0"/>
    <m:dispDef/>
    <m:lMargin m:val="0"/>
    <m:rMargin m:val="0"/>
    <m:defJc m:val="centerGroup"/>
    <m:wrapIndent m:val="1440"/>
    <m:intLim m:val="subSup"/>
    <m:naryLim m:val="undOvr"/>
  </m:mathPr>
  <w:themeFontLang w:val="en-CL"/>
  <w:clrSchemeMapping w:bg1="light1" w:t1="dark1" w:bg2="light2" w:t2="dark2" w:accent1="accent1" w:accent2="accent2" w:accent3="accent3" w:accent4="accent4" w:accent5="accent5" w:accent6="accent6" w:hyperlink="hyperlink" w:followedHyperlink="followedHyperlink"/>
  <w:decimalSymbol w:val=","/>
  <w:listSeparator w:val=","/>
  <w14:docId w14:val="58FA0FA2"/>
  <w15:chartTrackingRefBased/>
  <w15:docId w15:val="{AC09FA43-E88E-2D40-AFDC-C033B2CFD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6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76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76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76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76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76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6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6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6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6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76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76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76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76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76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6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6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6FB"/>
    <w:rPr>
      <w:rFonts w:eastAsiaTheme="majorEastAsia" w:cstheme="majorBidi"/>
      <w:color w:val="272727" w:themeColor="text1" w:themeTint="D8"/>
    </w:rPr>
  </w:style>
  <w:style w:type="paragraph" w:styleId="Title">
    <w:name w:val="Title"/>
    <w:basedOn w:val="Normal"/>
    <w:next w:val="Normal"/>
    <w:link w:val="TitleChar"/>
    <w:uiPriority w:val="10"/>
    <w:qFormat/>
    <w:rsid w:val="003376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6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6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6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6FB"/>
    <w:pPr>
      <w:spacing w:before="160"/>
      <w:jc w:val="center"/>
    </w:pPr>
    <w:rPr>
      <w:i/>
      <w:iCs/>
      <w:color w:val="404040" w:themeColor="text1" w:themeTint="BF"/>
    </w:rPr>
  </w:style>
  <w:style w:type="character" w:customStyle="1" w:styleId="QuoteChar">
    <w:name w:val="Quote Char"/>
    <w:basedOn w:val="DefaultParagraphFont"/>
    <w:link w:val="Quote"/>
    <w:uiPriority w:val="29"/>
    <w:rsid w:val="003376FB"/>
    <w:rPr>
      <w:i/>
      <w:iCs/>
      <w:color w:val="404040" w:themeColor="text1" w:themeTint="BF"/>
    </w:rPr>
  </w:style>
  <w:style w:type="paragraph" w:styleId="ListParagraph">
    <w:name w:val="List Paragraph"/>
    <w:basedOn w:val="Normal"/>
    <w:uiPriority w:val="34"/>
    <w:qFormat/>
    <w:rsid w:val="003376FB"/>
    <w:pPr>
      <w:ind w:left="720"/>
      <w:contextualSpacing/>
    </w:pPr>
  </w:style>
  <w:style w:type="character" w:styleId="IntenseEmphasis">
    <w:name w:val="Intense Emphasis"/>
    <w:basedOn w:val="DefaultParagraphFont"/>
    <w:uiPriority w:val="21"/>
    <w:qFormat/>
    <w:rsid w:val="003376FB"/>
    <w:rPr>
      <w:i/>
      <w:iCs/>
      <w:color w:val="0F4761" w:themeColor="accent1" w:themeShade="BF"/>
    </w:rPr>
  </w:style>
  <w:style w:type="paragraph" w:styleId="IntenseQuote">
    <w:name w:val="Intense Quote"/>
    <w:basedOn w:val="Normal"/>
    <w:next w:val="Normal"/>
    <w:link w:val="IntenseQuoteChar"/>
    <w:uiPriority w:val="30"/>
    <w:qFormat/>
    <w:rsid w:val="003376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76FB"/>
    <w:rPr>
      <w:i/>
      <w:iCs/>
      <w:color w:val="0F4761" w:themeColor="accent1" w:themeShade="BF"/>
    </w:rPr>
  </w:style>
  <w:style w:type="character" w:styleId="IntenseReference">
    <w:name w:val="Intense Reference"/>
    <w:basedOn w:val="DefaultParagraphFont"/>
    <w:uiPriority w:val="32"/>
    <w:qFormat/>
    <w:rsid w:val="003376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907</Words>
  <Characters>5662</Characters>
  <Application>Microsoft Office Word</Application>
  <DocSecurity>0</DocSecurity>
  <Lines>115</Lines>
  <Paragraphs>42</Paragraphs>
  <ScaleCrop>false</ScaleCrop>
  <Company/>
  <LinksUpToDate>false</LinksUpToDate>
  <CharactersWithSpaces>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Bustos</dc:creator>
  <cp:keywords/>
  <dc:description/>
  <cp:lastModifiedBy>David Bustos</cp:lastModifiedBy>
  <cp:revision>1</cp:revision>
  <dcterms:created xsi:type="dcterms:W3CDTF">2026-05-31T20:10:00Z</dcterms:created>
  <dcterms:modified xsi:type="dcterms:W3CDTF">2026-05-31T20:12:00Z</dcterms:modified>
</cp:coreProperties>
</file>