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49BC" w14:textId="77777777" w:rsidR="003376FB" w:rsidRDefault="003376FB" w:rsidP="003376FB"/>
    <w:p w14:paraId="78BFACDA" w14:textId="77777777" w:rsidR="003376FB" w:rsidRDefault="003376FB" w:rsidP="003376FB">
      <w:r>
        <w:t>Reviewer 1</w:t>
      </w:r>
    </w:p>
    <w:p w14:paraId="6C571530" w14:textId="77777777" w:rsidR="003376FB" w:rsidRDefault="003376FB" w:rsidP="00D8594E">
      <w:pPr>
        <w:jc w:val="both"/>
      </w:pPr>
      <w:r>
        <w:t>3. The description of the data is not detailed enough. Key information is needed on sampling methods, analytical procedures, temporal resolution, sample size, and the proportion of observed versus imputed values. Without these details, it is difficult to assess the reliability and reproducibility of the analysis.</w:t>
      </w:r>
    </w:p>
    <w:p w14:paraId="53EFFC9A" w14:textId="7AF1B9EA" w:rsidR="00FF2CC4" w:rsidRDefault="003376FB" w:rsidP="006079D6">
      <w:pPr>
        <w:shd w:val="clear" w:color="auto" w:fill="FFFFFE"/>
        <w:spacing w:line="315" w:lineRule="atLeast"/>
        <w:jc w:val="both"/>
        <w:rPr>
          <w:rFonts w:eastAsia="Times New Roman" w:cs="Menlo"/>
          <w:color w:val="0070C0"/>
          <w:kern w:val="0"/>
          <w14:ligatures w14:val="none"/>
        </w:rPr>
      </w:pPr>
      <w:r w:rsidRPr="006079D6">
        <w:rPr>
          <w:color w:val="0070C0"/>
        </w:rPr>
        <w:t>A//</w:t>
      </w:r>
      <w:r w:rsidR="00FF2CC4" w:rsidRPr="006079D6">
        <w:rPr>
          <w:color w:val="0070C0"/>
        </w:rPr>
        <w:t xml:space="preserve"> </w:t>
      </w:r>
      <w:r w:rsidR="00FF2CC4" w:rsidRPr="006079D6">
        <w:rPr>
          <w:rFonts w:eastAsia="Times New Roman" w:cs="Menlo"/>
          <w:color w:val="0070C0"/>
          <w:kern w:val="0"/>
          <w14:ligatures w14:val="none"/>
        </w:rPr>
        <w:t>Thanks for the comment</w:t>
      </w:r>
      <w:r w:rsidR="00FF2CC4" w:rsidRPr="006079D6">
        <w:rPr>
          <w:rFonts w:eastAsia="Times New Roman" w:cs="Menlo"/>
          <w:color w:val="0070C0"/>
          <w:kern w:val="0"/>
          <w14:ligatures w14:val="none"/>
        </w:rPr>
        <w:t xml:space="preserve">. We revised the data-description section to separate </w:t>
      </w:r>
      <w:r w:rsidR="006079D6">
        <w:rPr>
          <w:rFonts w:eastAsia="Times New Roman" w:cs="Menlo"/>
          <w:color w:val="0070C0"/>
          <w:kern w:val="0"/>
          <w14:ligatures w14:val="none"/>
        </w:rPr>
        <w:t xml:space="preserve">the </w:t>
      </w:r>
      <w:r w:rsidR="00FF2CC4" w:rsidRPr="006079D6">
        <w:rPr>
          <w:rFonts w:eastAsia="Times New Roman" w:cs="Menlo"/>
          <w:color w:val="0070C0"/>
          <w:kern w:val="0"/>
          <w14:ligatures w14:val="none"/>
        </w:rPr>
        <w:t>field/laboratory sampling information from the reproducible</w:t>
      </w:r>
      <w:r w:rsidR="006079D6">
        <w:rPr>
          <w:rFonts w:eastAsia="Times New Roman" w:cs="Menlo"/>
          <w:color w:val="0070C0"/>
          <w:kern w:val="0"/>
          <w14:ligatures w14:val="none"/>
        </w:rPr>
        <w:t xml:space="preserve"> </w:t>
      </w:r>
      <w:r w:rsidR="00FF2CC4" w:rsidRPr="006079D6">
        <w:rPr>
          <w:rFonts w:eastAsia="Times New Roman" w:cs="Menlo"/>
          <w:color w:val="0070C0"/>
          <w:kern w:val="0"/>
          <w14:ligatures w14:val="none"/>
        </w:rPr>
        <w:t>inventory used in the forecast analysis. We added a source-file inventory with file hashes, date ranges, variables, units, raw row counts, station labels, and date-parsing provenance, and we report observed-versus-reconstructed proportions for each station. In the local reproducible dataset, the daily modeling series contains 941 days for La Poza and 1331 days for Pucón; direct observations account for 45.9% and 55.6% of these daily records, respectively, while reconstructed/imputed values account for 56.0% and 51.5%, respectively. These values are now explicitly reported</w:t>
      </w:r>
      <w:r w:rsidR="006079D6">
        <w:rPr>
          <w:rFonts w:eastAsia="Times New Roman" w:cs="Menlo"/>
          <w:color w:val="0070C0"/>
          <w:kern w:val="0"/>
          <w14:ligatures w14:val="none"/>
        </w:rPr>
        <w:t xml:space="preserve"> in section 2.4.1</w:t>
      </w:r>
    </w:p>
    <w:p w14:paraId="64F318F7" w14:textId="788C0347" w:rsidR="006079D6" w:rsidRDefault="006079D6" w:rsidP="006079D6">
      <w:pPr>
        <w:shd w:val="clear" w:color="auto" w:fill="FFFFFE"/>
        <w:spacing w:line="315" w:lineRule="atLeast"/>
        <w:jc w:val="both"/>
        <w:rPr>
          <w:rFonts w:eastAsia="Times New Roman" w:cs="Menlo"/>
          <w:color w:val="0070C0"/>
          <w:kern w:val="0"/>
          <w14:ligatures w14:val="none"/>
        </w:rPr>
      </w:pPr>
      <w:r>
        <w:rPr>
          <w:rFonts w:eastAsia="Times New Roman" w:cs="Menlo"/>
          <w:color w:val="0070C0"/>
          <w:kern w:val="0"/>
          <w14:ligatures w14:val="none"/>
        </w:rPr>
        <w:t xml:space="preserve">Repo: </w:t>
      </w:r>
      <w:hyperlink r:id="rId5" w:history="1">
        <w:r w:rsidRPr="00FE4E66">
          <w:rPr>
            <w:rStyle w:val="Hyperlink"/>
            <w:rFonts w:eastAsia="Times New Roman" w:cs="Menlo"/>
            <w:kern w:val="0"/>
            <w14:ligatures w14:val="none"/>
          </w:rPr>
          <w:t>https://githu</w:t>
        </w:r>
        <w:r w:rsidRPr="00FE4E66">
          <w:rPr>
            <w:rStyle w:val="Hyperlink"/>
            <w:rFonts w:eastAsia="Times New Roman" w:cs="Menlo"/>
            <w:kern w:val="0"/>
            <w14:ligatures w14:val="none"/>
          </w:rPr>
          <w:t>b</w:t>
        </w:r>
        <w:r w:rsidRPr="00FE4E66">
          <w:rPr>
            <w:rStyle w:val="Hyperlink"/>
            <w:rFonts w:eastAsia="Times New Roman" w:cs="Menlo"/>
            <w:kern w:val="0"/>
            <w14:ligatures w14:val="none"/>
          </w:rPr>
          <w:t>.com/dfbustosus/transformers_forecaster_chlorophyll</w:t>
        </w:r>
      </w:hyperlink>
    </w:p>
    <w:p w14:paraId="74CC4EFE" w14:textId="7B73366B" w:rsidR="006079D6" w:rsidRDefault="00864C64" w:rsidP="006079D6">
      <w:pPr>
        <w:shd w:val="clear" w:color="auto" w:fill="FFFFFE"/>
        <w:spacing w:line="315" w:lineRule="atLeast"/>
        <w:jc w:val="both"/>
        <w:rPr>
          <w:rFonts w:eastAsia="Times New Roman" w:cs="Menlo"/>
          <w:color w:val="0070C0"/>
          <w:kern w:val="0"/>
          <w14:ligatures w14:val="none"/>
        </w:rPr>
      </w:pPr>
      <w:r>
        <w:rPr>
          <w:rFonts w:eastAsia="Times New Roman" w:cs="Menlo"/>
          <w:color w:val="0070C0"/>
          <w:kern w:val="0"/>
          <w14:ligatures w14:val="none"/>
        </w:rPr>
        <w:t>Evidence</w:t>
      </w:r>
      <w:r w:rsidR="006079D6">
        <w:rPr>
          <w:rFonts w:eastAsia="Times New Roman" w:cs="Menlo"/>
          <w:color w:val="0070C0"/>
          <w:kern w:val="0"/>
          <w14:ligatures w14:val="none"/>
        </w:rPr>
        <w:t>:</w:t>
      </w:r>
    </w:p>
    <w:p w14:paraId="23AAFB58" w14:textId="48D2D4D8" w:rsidR="006079D6" w:rsidRPr="006079D6" w:rsidRDefault="006079D6" w:rsidP="006079D6">
      <w:pPr>
        <w:numPr>
          <w:ilvl w:val="0"/>
          <w:numId w:val="1"/>
        </w:numPr>
        <w:spacing w:beforeAutospacing="1" w:after="0" w:afterAutospacing="1" w:line="240" w:lineRule="auto"/>
        <w:rPr>
          <w:rFonts w:ascii="Segoe UI" w:eastAsia="Times New Roman" w:hAnsi="Segoe UI" w:cs="Segoe UI"/>
          <w:color w:val="0070C0"/>
          <w:kern w:val="0"/>
          <w14:ligatures w14:val="none"/>
        </w:rPr>
      </w:pPr>
      <w:hyperlink r:id="rId6" w:history="1">
        <w:r w:rsidRPr="006079D6">
          <w:rPr>
            <w:rStyle w:val="Hyperlink"/>
            <w:rFonts w:ascii="Menlo" w:eastAsia="Times New Roman" w:hAnsi="Menlo" w:cs="Menlo"/>
            <w:kern w:val="0"/>
            <w:sz w:val="20"/>
            <w:szCs w:val="20"/>
            <w14:ligatures w14:val="none"/>
          </w:rPr>
          <w:t>outputs/</w:t>
        </w:r>
        <w:r w:rsidRPr="006079D6">
          <w:rPr>
            <w:rStyle w:val="Hyperlink"/>
            <w:rFonts w:ascii="Menlo" w:eastAsia="Times New Roman" w:hAnsi="Menlo" w:cs="Menlo"/>
            <w:kern w:val="0"/>
            <w:sz w:val="20"/>
            <w:szCs w:val="20"/>
            <w14:ligatures w14:val="none"/>
          </w:rPr>
          <w:t>t</w:t>
        </w:r>
        <w:r w:rsidRPr="006079D6">
          <w:rPr>
            <w:rStyle w:val="Hyperlink"/>
            <w:rFonts w:ascii="Menlo" w:eastAsia="Times New Roman" w:hAnsi="Menlo" w:cs="Menlo"/>
            <w:kern w:val="0"/>
            <w:sz w:val="20"/>
            <w:szCs w:val="20"/>
            <w14:ligatures w14:val="none"/>
          </w:rPr>
          <w:t>ables/data_inventory.csv</w:t>
        </w:r>
      </w:hyperlink>
    </w:p>
    <w:p w14:paraId="717931FD" w14:textId="551A6F62" w:rsidR="006079D6" w:rsidRPr="006079D6" w:rsidRDefault="006079D6" w:rsidP="006079D6">
      <w:pPr>
        <w:numPr>
          <w:ilvl w:val="0"/>
          <w:numId w:val="1"/>
        </w:numPr>
        <w:spacing w:after="0" w:afterAutospacing="1" w:line="240" w:lineRule="auto"/>
        <w:rPr>
          <w:rFonts w:ascii="Segoe UI" w:eastAsia="Times New Roman" w:hAnsi="Segoe UI" w:cs="Segoe UI"/>
          <w:color w:val="0070C0"/>
          <w:kern w:val="0"/>
          <w14:ligatures w14:val="none"/>
        </w:rPr>
      </w:pPr>
      <w:hyperlink r:id="rId7" w:history="1">
        <w:r w:rsidRPr="006079D6">
          <w:rPr>
            <w:rStyle w:val="Hyperlink"/>
            <w:rFonts w:ascii="Menlo" w:eastAsia="Times New Roman" w:hAnsi="Menlo" w:cs="Menlo"/>
            <w:kern w:val="0"/>
            <w:sz w:val="20"/>
            <w:szCs w:val="20"/>
            <w14:ligatures w14:val="none"/>
          </w:rPr>
          <w:t>outputs/tables/station_date_coverage.csv</w:t>
        </w:r>
      </w:hyperlink>
    </w:p>
    <w:p w14:paraId="517FA624" w14:textId="6FD9BB9A" w:rsidR="006079D6" w:rsidRPr="006079D6" w:rsidRDefault="006079D6" w:rsidP="006079D6">
      <w:pPr>
        <w:numPr>
          <w:ilvl w:val="0"/>
          <w:numId w:val="1"/>
        </w:numPr>
        <w:spacing w:after="0" w:afterAutospacing="1" w:line="240" w:lineRule="auto"/>
        <w:rPr>
          <w:rFonts w:ascii="Segoe UI" w:eastAsia="Times New Roman" w:hAnsi="Segoe UI" w:cs="Segoe UI"/>
          <w:color w:val="0070C0"/>
          <w:kern w:val="0"/>
          <w14:ligatures w14:val="none"/>
        </w:rPr>
      </w:pPr>
      <w:hyperlink r:id="rId8" w:history="1">
        <w:r w:rsidRPr="006079D6">
          <w:rPr>
            <w:rStyle w:val="Hyperlink"/>
            <w:rFonts w:ascii="Menlo" w:eastAsia="Times New Roman" w:hAnsi="Menlo" w:cs="Menlo"/>
            <w:kern w:val="0"/>
            <w:sz w:val="20"/>
            <w:szCs w:val="20"/>
            <w14:ligatures w14:val="none"/>
          </w:rPr>
          <w:t>outputs/tables/preprocessing_footprint.csv</w:t>
        </w:r>
      </w:hyperlink>
    </w:p>
    <w:p w14:paraId="617F7298" w14:textId="10CB0FA4" w:rsidR="003376FB" w:rsidRPr="006079D6" w:rsidRDefault="006079D6" w:rsidP="006079D6">
      <w:pPr>
        <w:numPr>
          <w:ilvl w:val="0"/>
          <w:numId w:val="1"/>
        </w:numPr>
        <w:spacing w:after="0" w:afterAutospacing="1" w:line="240" w:lineRule="auto"/>
        <w:rPr>
          <w:rFonts w:ascii="Segoe UI" w:eastAsia="Times New Roman" w:hAnsi="Segoe UI" w:cs="Segoe UI"/>
          <w:color w:val="0070C0"/>
          <w:kern w:val="0"/>
          <w14:ligatures w14:val="none"/>
        </w:rPr>
      </w:pPr>
      <w:hyperlink r:id="rId9" w:history="1">
        <w:r w:rsidRPr="006079D6">
          <w:rPr>
            <w:rStyle w:val="Hyperlink"/>
            <w:rFonts w:ascii="Menlo" w:eastAsia="Times New Roman" w:hAnsi="Menlo" w:cs="Menlo"/>
            <w:kern w:val="0"/>
            <w:sz w:val="20"/>
            <w:szCs w:val="20"/>
            <w14:ligatures w14:val="none"/>
          </w:rPr>
          <w:t>outputs/tables/mixed_date_encoding_audit.csv</w:t>
        </w:r>
      </w:hyperlink>
    </w:p>
    <w:p w14:paraId="63D4C527" w14:textId="77777777" w:rsidR="003376FB" w:rsidRDefault="003376FB" w:rsidP="00D8594E">
      <w:pPr>
        <w:jc w:val="both"/>
      </w:pPr>
      <w:r>
        <w:t>4. The effect of preprocessing should be addressed more carefully. Since the time series were reconstructed using interpolation, gap filling, smoothing, and other steps, the authors should clarify how much of the final series is based on actual observations and how much may be influenced by preprocessing.</w:t>
      </w:r>
    </w:p>
    <w:p w14:paraId="2C8FFF1D" w14:textId="44C0DFA1" w:rsidR="00864C64" w:rsidRPr="005C24E7" w:rsidRDefault="003376FB" w:rsidP="005C24E7">
      <w:pPr>
        <w:jc w:val="both"/>
        <w:rPr>
          <w:rStyle w:val="HTMLCode"/>
          <w:rFonts w:asciiTheme="minorHAnsi" w:eastAsiaTheme="minorHAnsi" w:hAnsiTheme="minorHAnsi" w:cs="Segoe UI"/>
          <w:color w:val="0070C0"/>
          <w:sz w:val="24"/>
          <w:szCs w:val="24"/>
          <w:shd w:val="clear" w:color="auto" w:fill="FFFFFF"/>
        </w:rPr>
      </w:pPr>
      <w:r w:rsidRPr="00BD4BF9">
        <w:rPr>
          <w:color w:val="0070C0"/>
        </w:rPr>
        <w:t>A//</w:t>
      </w:r>
      <w:r w:rsidR="00BD4BF9" w:rsidRPr="00BD4BF9">
        <w:rPr>
          <w:color w:val="0070C0"/>
        </w:rPr>
        <w:t xml:space="preserve"> </w:t>
      </w:r>
      <w:r w:rsidR="00BD4BF9" w:rsidRPr="00BD4BF9">
        <w:rPr>
          <w:rFonts w:cs="Segoe UI"/>
          <w:color w:val="0070C0"/>
          <w:shd w:val="clear" w:color="auto" w:fill="FFFFFF"/>
        </w:rPr>
        <w:t>We agree and revised the preprocessing descriptio</w:t>
      </w:r>
      <w:r w:rsidR="00BD4BF9">
        <w:rPr>
          <w:rFonts w:cs="Segoe UI"/>
          <w:color w:val="0070C0"/>
          <w:shd w:val="clear" w:color="auto" w:fill="FFFFFF"/>
        </w:rPr>
        <w:t>ns</w:t>
      </w:r>
      <w:r w:rsidR="00BD4BF9" w:rsidRPr="00BD4BF9">
        <w:rPr>
          <w:rFonts w:cs="Segoe UI"/>
          <w:color w:val="0070C0"/>
          <w:shd w:val="clear" w:color="auto" w:fill="FFFFFF"/>
        </w:rPr>
        <w:t>. The</w:t>
      </w:r>
      <w:r w:rsidR="00BD4BF9">
        <w:rPr>
          <w:rFonts w:cs="Segoe UI"/>
          <w:color w:val="0070C0"/>
          <w:shd w:val="clear" w:color="auto" w:fill="FFFFFF"/>
        </w:rPr>
        <w:t xml:space="preserve"> new</w:t>
      </w:r>
      <w:r w:rsidR="00BD4BF9" w:rsidRPr="00BD4BF9">
        <w:rPr>
          <w:rFonts w:cs="Segoe UI"/>
          <w:color w:val="0070C0"/>
          <w:shd w:val="clear" w:color="auto" w:fill="FFFFFF"/>
        </w:rPr>
        <w:t xml:space="preserve"> revised manuscript now reports the exact observed, interpolated, imputed, outlier-handled, and smoothed proportions for each station and includes the corresponding source tables. The final forecasting target preserves direct 2024 observations exactly, uses shape-preserving interpolation only for short bracketed gaps, applies a historical day-of-year/harmonic/analog-residual reconstruction for longer gaps, and uses no smoothing in the accepted target. We also added observed-only and gap-stratified scoring tables so that forecast skill on directly observed dates can be compared against skill on reconstructed dates.</w:t>
      </w:r>
      <w:r w:rsidR="00BD4BF9">
        <w:rPr>
          <w:rFonts w:cs="Segoe UI"/>
          <w:color w:val="0070C0"/>
          <w:shd w:val="clear" w:color="auto" w:fill="FFFFFF"/>
        </w:rPr>
        <w:t xml:space="preserve"> You can verify this in sections 2.4.1 and 2.4.2.</w:t>
      </w:r>
    </w:p>
    <w:p w14:paraId="4905E77B" w14:textId="77777777" w:rsidR="00864C64" w:rsidRDefault="00864C64" w:rsidP="00864C64">
      <w:pPr>
        <w:shd w:val="clear" w:color="auto" w:fill="FFFFFE"/>
        <w:spacing w:line="315" w:lineRule="atLeast"/>
        <w:jc w:val="both"/>
        <w:rPr>
          <w:rFonts w:eastAsia="Times New Roman" w:cs="Menlo"/>
          <w:color w:val="0070C0"/>
          <w:kern w:val="0"/>
          <w14:ligatures w14:val="none"/>
        </w:rPr>
      </w:pPr>
      <w:r>
        <w:rPr>
          <w:rFonts w:eastAsia="Times New Roman" w:cs="Menlo"/>
          <w:color w:val="0070C0"/>
          <w:kern w:val="0"/>
          <w14:ligatures w14:val="none"/>
        </w:rPr>
        <w:t>Evidence:</w:t>
      </w:r>
    </w:p>
    <w:p w14:paraId="0C08B96E" w14:textId="6760470E" w:rsidR="00864C64" w:rsidRPr="005C24E7" w:rsidRDefault="005C24E7" w:rsidP="00864C64">
      <w:pPr>
        <w:numPr>
          <w:ilvl w:val="0"/>
          <w:numId w:val="1"/>
        </w:numPr>
        <w:spacing w:beforeAutospacing="1" w:after="0" w:afterAutospacing="1" w:line="240" w:lineRule="auto"/>
        <w:rPr>
          <w:rStyle w:val="HTMLCode"/>
          <w:rFonts w:ascii="Segoe UI" w:hAnsi="Segoe UI" w:cs="Segoe UI"/>
          <w:color w:val="0070C0"/>
          <w:kern w:val="0"/>
          <w:sz w:val="24"/>
          <w:szCs w:val="24"/>
          <w14:ligatures w14:val="none"/>
        </w:rPr>
      </w:pPr>
      <w:hyperlink r:id="rId10" w:history="1">
        <w:r w:rsidR="00864C64" w:rsidRPr="005C24E7">
          <w:rPr>
            <w:rStyle w:val="Hyperlink"/>
            <w:rFonts w:ascii="Menlo" w:eastAsiaTheme="majorEastAsia" w:hAnsi="Menlo" w:cs="Menlo"/>
            <w:sz w:val="20"/>
            <w:szCs w:val="20"/>
          </w:rPr>
          <w:t>outputs/tables/chlorophyll_spike_review.csv</w:t>
        </w:r>
      </w:hyperlink>
    </w:p>
    <w:p w14:paraId="18B6E9BC" w14:textId="226F039B" w:rsidR="004C7BA9" w:rsidRPr="005C24E7" w:rsidRDefault="005C24E7" w:rsidP="005C24E7">
      <w:pPr>
        <w:numPr>
          <w:ilvl w:val="0"/>
          <w:numId w:val="1"/>
        </w:numPr>
        <w:spacing w:beforeAutospacing="1" w:after="0" w:afterAutospacing="1" w:line="240" w:lineRule="auto"/>
        <w:rPr>
          <w:rFonts w:ascii="Segoe UI" w:eastAsia="Times New Roman" w:hAnsi="Segoe UI" w:cs="Segoe UI"/>
          <w:color w:val="0070C0"/>
          <w:kern w:val="0"/>
          <w14:ligatures w14:val="none"/>
        </w:rPr>
      </w:pPr>
      <w:hyperlink r:id="rId11" w:history="1">
        <w:r w:rsidR="00864C64" w:rsidRPr="005C24E7">
          <w:rPr>
            <w:rStyle w:val="Hyperlink"/>
            <w:rFonts w:ascii="Menlo" w:eastAsiaTheme="majorEastAsia" w:hAnsi="Menlo" w:cs="Menlo"/>
            <w:sz w:val="20"/>
            <w:szCs w:val="20"/>
          </w:rPr>
          <w:t>outputs/tables/preprocessing_footprint.csv</w:t>
        </w:r>
      </w:hyperlink>
    </w:p>
    <w:p w14:paraId="749C469A" w14:textId="77777777" w:rsidR="003376FB" w:rsidRDefault="003376FB" w:rsidP="00D8594E">
      <w:pPr>
        <w:jc w:val="both"/>
      </w:pPr>
      <w:r>
        <w:t>6. The evaluation of the 7-day forecast is not fully convincing. Although the reported errors are acceptable, the figures suggest a possible temporal shift between predicted and observed chlorophyll-a dynamics. For bloom warning applications, this issue is important and should be assessed explicitly.</w:t>
      </w:r>
    </w:p>
    <w:p w14:paraId="78BE3D9F" w14:textId="43DC96A4" w:rsidR="003376FB" w:rsidRDefault="003376FB" w:rsidP="00D8594E">
      <w:pPr>
        <w:jc w:val="both"/>
        <w:rPr>
          <w:rFonts w:ascii="Segoe UI" w:hAnsi="Segoe UI" w:cs="Segoe UI"/>
          <w:color w:val="0070C0"/>
          <w:shd w:val="clear" w:color="auto" w:fill="FFFFFF"/>
        </w:rPr>
      </w:pPr>
      <w:r w:rsidRPr="005C24E7">
        <w:rPr>
          <w:color w:val="0070C0"/>
        </w:rPr>
        <w:t>A//</w:t>
      </w:r>
      <w:r w:rsidR="005C24E7" w:rsidRPr="005C24E7">
        <w:rPr>
          <w:color w:val="0070C0"/>
        </w:rPr>
        <w:t xml:space="preserve"> </w:t>
      </w:r>
      <w:r w:rsidR="005C24E7" w:rsidRPr="005C24E7">
        <w:rPr>
          <w:rFonts w:ascii="Segoe UI" w:hAnsi="Segoe UI" w:cs="Segoe UI"/>
          <w:color w:val="0070C0"/>
          <w:shd w:val="clear" w:color="auto" w:fill="FFFFFF"/>
        </w:rPr>
        <w:t>Thanks for the comment.</w:t>
      </w:r>
      <w:r w:rsidR="005C24E7" w:rsidRPr="005C24E7">
        <w:rPr>
          <w:rFonts w:ascii="Segoe UI" w:hAnsi="Segoe UI" w:cs="Segoe UI"/>
          <w:color w:val="0070C0"/>
          <w:shd w:val="clear" w:color="auto" w:fill="FFFFFF"/>
        </w:rPr>
        <w:t xml:space="preserve"> We therefore added a lag-diagnostic analysis for the 7-day forecasts. Three of the four station/model combinations reached their maximum correlation at lag 0, indicating no systematic shift in those cases. However, Pucón Chronos Large reached its best correlation at a negative lag, and all D7 cases showed a 14-day peak-date error. We now report these diagnostics explicitly and describe the D7 forecasts as capturing the seasonal envelope and broad timing but not reliably resolving peak timing at day-level precision</w:t>
      </w:r>
    </w:p>
    <w:p w14:paraId="7EEAD680" w14:textId="1FEECB0C" w:rsidR="005C24E7" w:rsidRPr="005C24E7" w:rsidRDefault="005C24E7" w:rsidP="005C24E7">
      <w:pPr>
        <w:numPr>
          <w:ilvl w:val="0"/>
          <w:numId w:val="3"/>
        </w:numPr>
        <w:spacing w:beforeAutospacing="1" w:after="0" w:afterAutospacing="1" w:line="240" w:lineRule="auto"/>
        <w:rPr>
          <w:rFonts w:ascii="Segoe UI" w:eastAsia="Times New Roman" w:hAnsi="Segoe UI" w:cs="Segoe UI"/>
          <w:color w:val="1F2328"/>
          <w:kern w:val="0"/>
          <w14:ligatures w14:val="none"/>
        </w:rPr>
      </w:pPr>
      <w:hyperlink r:id="rId12" w:history="1">
        <w:r w:rsidRPr="005C24E7">
          <w:rPr>
            <w:rStyle w:val="Hyperlink"/>
            <w:rFonts w:ascii="Menlo" w:eastAsia="Times New Roman" w:hAnsi="Menlo" w:cs="Menlo"/>
            <w:kern w:val="0"/>
            <w:sz w:val="20"/>
            <w:szCs w:val="20"/>
            <w14:ligatures w14:val="none"/>
          </w:rPr>
          <w:t>outputs/tables/lag_diagnostics_d7.csv</w:t>
        </w:r>
      </w:hyperlink>
    </w:p>
    <w:p w14:paraId="0C051836" w14:textId="0A0DBA12" w:rsidR="005C24E7" w:rsidRPr="005C24E7" w:rsidRDefault="005C24E7" w:rsidP="005C24E7">
      <w:pPr>
        <w:numPr>
          <w:ilvl w:val="0"/>
          <w:numId w:val="3"/>
        </w:numPr>
        <w:spacing w:after="0" w:afterAutospacing="1" w:line="240" w:lineRule="auto"/>
        <w:rPr>
          <w:rFonts w:ascii="Segoe UI" w:eastAsia="Times New Roman" w:hAnsi="Segoe UI" w:cs="Segoe UI"/>
          <w:color w:val="1F2328"/>
          <w:kern w:val="0"/>
          <w14:ligatures w14:val="none"/>
        </w:rPr>
      </w:pPr>
      <w:hyperlink r:id="rId13" w:history="1">
        <w:r w:rsidRPr="005C24E7">
          <w:rPr>
            <w:rStyle w:val="Hyperlink"/>
            <w:rFonts w:ascii="Menlo" w:eastAsia="Times New Roman" w:hAnsi="Menlo" w:cs="Menlo"/>
            <w:kern w:val="0"/>
            <w:sz w:val="20"/>
            <w:szCs w:val="20"/>
            <w14:ligatures w14:val="none"/>
          </w:rPr>
          <w:t>outputs/tables/lag_correlation_by_model_d7.csv</w:t>
        </w:r>
      </w:hyperlink>
    </w:p>
    <w:p w14:paraId="2A4D6F31" w14:textId="77777777" w:rsidR="003376FB" w:rsidRDefault="003376FB" w:rsidP="00D8594E">
      <w:pPr>
        <w:jc w:val="both"/>
      </w:pPr>
      <w:r>
        <w:t>7. The analysis of threshold exceedance is too descriptive in its current form. If the authors wish to highlight the management relevance of the study, this section should include more quantitative analysis rather than only visual or narrative description.</w:t>
      </w:r>
    </w:p>
    <w:p w14:paraId="354EE25E" w14:textId="029FE91E" w:rsidR="003376FB" w:rsidRPr="005C24E7" w:rsidRDefault="003376FB" w:rsidP="00D8594E">
      <w:pPr>
        <w:jc w:val="both"/>
        <w:rPr>
          <w:color w:val="0070C0"/>
        </w:rPr>
      </w:pPr>
      <w:r w:rsidRPr="005C24E7">
        <w:rPr>
          <w:color w:val="0070C0"/>
        </w:rPr>
        <w:t>A//</w:t>
      </w:r>
      <w:r w:rsidR="005C24E7" w:rsidRPr="005C24E7">
        <w:rPr>
          <w:color w:val="0070C0"/>
        </w:rPr>
        <w:t xml:space="preserve"> </w:t>
      </w:r>
      <w:r w:rsidR="005C24E7">
        <w:rPr>
          <w:rFonts w:ascii="Segoe UI" w:hAnsi="Segoe UI" w:cs="Segoe UI"/>
          <w:color w:val="0070C0"/>
          <w:shd w:val="clear" w:color="auto" w:fill="FFFFFF"/>
        </w:rPr>
        <w:t>Thanks for the comment. After a full review and reconstruction</w:t>
      </w:r>
      <w:r w:rsidR="00FA1106">
        <w:rPr>
          <w:rFonts w:ascii="Segoe UI" w:hAnsi="Segoe UI" w:cs="Segoe UI"/>
          <w:color w:val="0070C0"/>
          <w:shd w:val="clear" w:color="auto" w:fill="FFFFFF"/>
        </w:rPr>
        <w:t>/preparation</w:t>
      </w:r>
      <w:r w:rsidR="005C24E7">
        <w:rPr>
          <w:rFonts w:ascii="Segoe UI" w:hAnsi="Segoe UI" w:cs="Segoe UI"/>
          <w:color w:val="0070C0"/>
          <w:shd w:val="clear" w:color="auto" w:fill="FFFFFF"/>
        </w:rPr>
        <w:t xml:space="preserve"> of the data (see new Figure 2) we notice that </w:t>
      </w:r>
      <w:r w:rsidR="005C24E7" w:rsidRPr="005C24E7">
        <w:rPr>
          <w:rFonts w:ascii="Segoe UI" w:hAnsi="Segoe UI" w:cs="Segoe UI"/>
          <w:color w:val="0070C0"/>
          <w:shd w:val="clear" w:color="auto" w:fill="FFFFFF"/>
        </w:rPr>
        <w:t>in the processed 2024 forecast target used for the refreshed TimesFM/Chronos evaluation, there are no 10 µg/L exceedance events. As a result, detection-oriented metrics such as POD, precision, F1, false-alarm ratio, and missed-event rate cannot be estimated from this subset.</w:t>
      </w:r>
    </w:p>
    <w:p w14:paraId="01753ADC" w14:textId="77777777" w:rsidR="003376FB" w:rsidRDefault="003376FB" w:rsidP="00D8594E">
      <w:pPr>
        <w:jc w:val="both"/>
      </w:pPr>
      <w:r>
        <w:t>Reviewer 3</w:t>
      </w:r>
    </w:p>
    <w:p w14:paraId="095FCDE3" w14:textId="5EE4AEB5" w:rsidR="003376FB" w:rsidRPr="005B50C0" w:rsidRDefault="003376FB" w:rsidP="00D8594E">
      <w:pPr>
        <w:jc w:val="both"/>
        <w:rPr>
          <w:color w:val="0070C0"/>
        </w:rPr>
      </w:pPr>
      <w:r w:rsidRPr="00FD6018">
        <w:rPr>
          <w:color w:val="000000" w:themeColor="text1"/>
        </w:rPr>
        <w:t>2. In Section 2.3, the manuscript mentions establishing empirical and semi-empirical relationships between satellite spectral indices and in-situ data for modeling. However, it fails to explain what these relationships actually are or how they were validated. Furthermore, it remains completely unclear how the subsequent machine learning models actually utilize these "empirical relationships." The authors need to explicitly present their remote sensing inversion algorithms, provide validation metrics for the satellite-derived estimates, and clearly explain how this satellite data is integrated into the final forecasting pipeline.</w:t>
      </w:r>
      <w:r w:rsidRPr="00FD6018">
        <w:rPr>
          <w:color w:val="0070C0"/>
        </w:rPr>
        <w:br/>
      </w:r>
      <w:r w:rsidRPr="00FD6018">
        <w:rPr>
          <w:color w:val="0070C0"/>
        </w:rPr>
        <w:t>A//</w:t>
      </w:r>
      <w:r w:rsidR="00FD6018" w:rsidRPr="00FD6018">
        <w:rPr>
          <w:color w:val="0070C0"/>
        </w:rPr>
        <w:t xml:space="preserve"> </w:t>
      </w:r>
      <w:r w:rsidR="005B50C0" w:rsidRPr="005B50C0">
        <w:rPr>
          <w:color w:val="0070C0"/>
        </w:rPr>
        <w:t xml:space="preserve">We agree with the </w:t>
      </w:r>
      <w:r w:rsidR="005B50C0">
        <w:rPr>
          <w:color w:val="0070C0"/>
        </w:rPr>
        <w:t>commen</w:t>
      </w:r>
      <w:r w:rsidR="005B50C0" w:rsidRPr="005B50C0">
        <w:rPr>
          <w:color w:val="0070C0"/>
        </w:rPr>
        <w:t xml:space="preserve">. We now clarify that TimesFM and Chronos Large do not </w:t>
      </w:r>
      <w:r w:rsidR="005B50C0" w:rsidRPr="005B50C0">
        <w:rPr>
          <w:color w:val="0070C0"/>
        </w:rPr>
        <w:lastRenderedPageBreak/>
        <w:t>directly ingest satellite spectral indices; they use univariate Chl-a time-series inputs. Satellite indices were not included because their sparse and irregular temporal coverage would require strong interpolation assumptions that could introduce artifacts. Therefore, we revised the manuscript to distinguish satellite-supported pigment estimation from the actual foundation-model forecasting pipeline, and we reduced claims of direct satellite–ML integration unless validated matchup/inversion data are provided.</w:t>
      </w:r>
    </w:p>
    <w:p w14:paraId="3B6A2747" w14:textId="77777777" w:rsidR="003376FB" w:rsidRDefault="003376FB" w:rsidP="00D8594E">
      <w:pPr>
        <w:jc w:val="both"/>
      </w:pPr>
      <w:r>
        <w:t>3. Similar to the previous question, the manuscript's title and abstract heavily emphasize the integration of "Satellite Observations and Machine Learning." However, a detailed review of the methodology (Sections 2.4 and 2.5) reveals that the core foundation models (TimesFM, Chronos, etc.) only utilize univariate time-series data of Chlorophyll-a. There is no evidence showing how satellite-derived spatial predictors are actually ingested into these forecasting architectures. The study overstates its methodological integration, and the title is scientifically misleading.</w:t>
      </w:r>
    </w:p>
    <w:p w14:paraId="0571A321" w14:textId="038165B6" w:rsidR="000F18DC" w:rsidRPr="000F18DC" w:rsidRDefault="003376FB" w:rsidP="00D8594E">
      <w:pPr>
        <w:jc w:val="both"/>
        <w:rPr>
          <w:rFonts w:ascii="Segoe UI" w:hAnsi="Segoe UI" w:cs="Segoe UI"/>
          <w:color w:val="0070C0"/>
          <w:shd w:val="clear" w:color="auto" w:fill="FFFFFF"/>
        </w:rPr>
      </w:pPr>
      <w:commentRangeStart w:id="0"/>
      <w:r w:rsidRPr="000F18DC">
        <w:rPr>
          <w:color w:val="0070C0"/>
        </w:rPr>
        <w:t>A//</w:t>
      </w:r>
      <w:r w:rsidR="000F18DC" w:rsidRPr="000F18DC">
        <w:rPr>
          <w:color w:val="0070C0"/>
        </w:rPr>
        <w:t xml:space="preserve"> </w:t>
      </w:r>
      <w:r w:rsidR="005B50C0" w:rsidRPr="005B50C0">
        <w:rPr>
          <w:color w:val="0070C0"/>
        </w:rPr>
        <w:t xml:space="preserve">We agree with the reviewer that the previous wording could be interpreted as implying direct ingestion of satellite-derived spatial predictors by the forecasting architectures. This was not the case in the reproducible forecasting experiments. TimesFM and Chronos Large were applied to univariate daily Chl-a context windows, and satellite spectral indices were not used as direct multivariate predictors. </w:t>
      </w:r>
      <w:commentRangeEnd w:id="0"/>
      <w:r w:rsidR="005B50C0" w:rsidRPr="000F18DC">
        <w:rPr>
          <w:rStyle w:val="CommentReference"/>
          <w:rFonts w:ascii="Segoe UI" w:hAnsi="Segoe UI" w:cs="Segoe UI"/>
          <w:color w:val="0070C0"/>
          <w:sz w:val="24"/>
          <w:szCs w:val="24"/>
          <w:shd w:val="clear" w:color="auto" w:fill="FFFFFF"/>
        </w:rPr>
        <w:commentReference w:id="0"/>
      </w:r>
    </w:p>
    <w:p w14:paraId="72719B68" w14:textId="23516A8F" w:rsidR="003376FB" w:rsidRPr="003376FB" w:rsidRDefault="003376FB" w:rsidP="00D8594E">
      <w:pPr>
        <w:jc w:val="both"/>
        <w:rPr>
          <w:color w:val="0070C0"/>
        </w:rPr>
      </w:pPr>
      <w:r>
        <w:br/>
      </w:r>
      <w:r>
        <w:t>4. In Section 2.5, the manuscript devotes a significant amount of space—spanning several pages with standard mathematical equations—to describing the theoretical backgrounds of publicly available models. Since the study applies these off-the-shelf models without proposing any novel algorithmic or architectural improvements, this textbook-level description is unnecessary and severely dilutes the paper's actual scientific contribution. I recommend drastically condensing Section 2.5. The authors should simply introduce the selected models, provide the appropriate academic citations, and focus exclusively on the specific configurations, hyperparameters, and input/output designs utilized in this study. Any lengthy architectural derivations should be completely removed or moved to the Supplementary Material. Furthermore, given the absence of methodological innovations to the models themselves, the overall scientific contribution of the current manuscript may be insufficient for the standards of this journal. To strengthen the paper's value, I suggest adding an in-depth application analysis of the forecasting results.</w:t>
      </w:r>
    </w:p>
    <w:p w14:paraId="1A7DE34D" w14:textId="365BD86E" w:rsidR="003376FB" w:rsidRPr="000F18DC" w:rsidRDefault="003376FB" w:rsidP="00D8594E">
      <w:pPr>
        <w:jc w:val="both"/>
        <w:rPr>
          <w:color w:val="0070C0"/>
        </w:rPr>
      </w:pPr>
      <w:r w:rsidRPr="000F18DC">
        <w:rPr>
          <w:color w:val="0070C0"/>
        </w:rPr>
        <w:t>A//</w:t>
      </w:r>
      <w:r w:rsidR="000F18DC" w:rsidRPr="000F18DC">
        <w:rPr>
          <w:color w:val="0070C0"/>
        </w:rPr>
        <w:t xml:space="preserve"> </w:t>
      </w:r>
      <w:r w:rsidR="000F18DC" w:rsidRPr="000F18DC">
        <w:rPr>
          <w:rFonts w:ascii="Segoe UI" w:hAnsi="Segoe UI" w:cs="Segoe UI"/>
          <w:color w:val="0070C0"/>
          <w:shd w:val="clear" w:color="auto" w:fill="FFFFFF"/>
        </w:rPr>
        <w:t>We agree and have substantially rebalanced the manuscript. Section 2.5 was condensed to describe the selected models, citations, input context length, forecast horizons, quantile outputs, runtime configuration, and evaluation protocol, rather than reproducing standard model derivations. The space saved is used to present application-</w:t>
      </w:r>
      <w:r w:rsidR="000F18DC" w:rsidRPr="000F18DC">
        <w:rPr>
          <w:rFonts w:ascii="Segoe UI" w:hAnsi="Segoe UI" w:cs="Segoe UI"/>
          <w:color w:val="0070C0"/>
          <w:shd w:val="clear" w:color="auto" w:fill="FFFFFF"/>
        </w:rPr>
        <w:lastRenderedPageBreak/>
        <w:t>relevant diagnostics: horizon-dependent forecast degradation, observed-only and gap-stratified performance, 7-day lag diagnostics, threshold-warning verification, uncertainty coverage, and site-transfer limitations.</w:t>
      </w:r>
    </w:p>
    <w:p w14:paraId="0B63C764" w14:textId="0D413AEA" w:rsidR="003376FB" w:rsidRDefault="003376FB" w:rsidP="00D8594E">
      <w:pPr>
        <w:jc w:val="both"/>
      </w:pPr>
      <w:r>
        <w:t>5. In Section 2.4.1, the authors state they used "day-of-year climatological imputation" to convert irregular in-situ sampling into a continuous daily frequency. Given that in-situ sampling of lakes is typically infrequent, applying a 1-day horizon forecast on heavily imputed daily data raises a methodological concern. It is highly likely the model is merely predicting the climatological mean used for the imputation itself, rather than actual ecological dynamics. This challenges the reported "near-perfect" agreement. The authors must clarify the exact original sampling frequency and robustly prove the models are not just learning the imputation logic.</w:t>
      </w:r>
    </w:p>
    <w:p w14:paraId="0DE4FC4E" w14:textId="77777777" w:rsidR="003376FB" w:rsidRDefault="003376FB" w:rsidP="00D8594E">
      <w:pPr>
        <w:jc w:val="both"/>
      </w:pPr>
      <w:r>
        <w:t>//Aqui puedo explicar la parte de las mediciones in-situ por las boyas y tu la parte que habla de la imputation logic etc.</w:t>
      </w:r>
    </w:p>
    <w:p w14:paraId="6FB0BEEF" w14:textId="663B7AFE" w:rsidR="00E5753A" w:rsidRPr="00B41E1F" w:rsidRDefault="00E5753A" w:rsidP="00D8594E">
      <w:pPr>
        <w:jc w:val="both"/>
        <w:rPr>
          <w:color w:val="0070C0"/>
        </w:rPr>
      </w:pPr>
      <w:r w:rsidRPr="00B41E1F">
        <w:rPr>
          <w:color w:val="0070C0"/>
        </w:rPr>
        <w:t xml:space="preserve">A// </w:t>
      </w:r>
      <w:r w:rsidR="00B41E1F" w:rsidRPr="00B41E1F">
        <w:rPr>
          <w:rFonts w:ascii="Segoe UI" w:hAnsi="Segoe UI" w:cs="Segoe UI"/>
          <w:color w:val="0070C0"/>
          <w:shd w:val="clear" w:color="auto" w:fill="FFFFFF"/>
        </w:rPr>
        <w:t>We agree and now explicitly quantify the original observation density and the preprocessing footprint. We added observed-only and gap-stratified evaluations so that forecast performance on directly observed target dates can be separated from performance on reconstructed dates. The results show that short-horizon errors remain low on directly observed dates, but the observed-only sample in the 2024 evaluation window is small. We therefore no longer claim “near-perfect” ecological prediction. Instead, we describe the forecasts as skillful for the reconstructed daily Chl-a product and interpret observed-only results as a sensitivity check against imputation-driven performance.</w:t>
      </w:r>
    </w:p>
    <w:p w14:paraId="24AFFFEC" w14:textId="77777777" w:rsidR="003376FB" w:rsidRDefault="003376FB" w:rsidP="00D8594E">
      <w:pPr>
        <w:jc w:val="both"/>
      </w:pPr>
      <w:r>
        <w:t xml:space="preserve">7. The Discussion section overall lacks sufficient depth and would benefit from a more explicit and structured analysis of the sources of uncertainty within the proposed forecasting framework. Currently, the manuscript attributes medium- to long-term forecast degradation almost exclusively to "intrinsic ecological unpredictability". It fails to clearly distinguish between uncertainties arising from: (1) satellite retrieval limitations, (2) spatiotemporal mismatches between point-based in-situ samples and satellite pixels, or (3) structural artifacts introduced by the daily data imputation process. </w:t>
      </w:r>
    </w:p>
    <w:p w14:paraId="215755AE" w14:textId="77777777" w:rsidR="003376FB" w:rsidRDefault="003376FB" w:rsidP="00D8594E">
      <w:pPr>
        <w:jc w:val="both"/>
      </w:pPr>
      <w:r>
        <w:t>Furthermore, while Section 2.4.4 explicitly mentions generating probabilistic forecasts (mapping to the 10th, 50th, and 90th percentiles), any discussion or visualization of these predictive uncertainty bounds is entirely absent from the results and discussion. The authors must expand this section to critically examine these distinct error sources and their relative impacts on model reliability.</w:t>
      </w:r>
    </w:p>
    <w:p w14:paraId="31B9C301" w14:textId="2A2BCCAB" w:rsidR="003376FB" w:rsidRPr="00B41E1F" w:rsidRDefault="003376FB" w:rsidP="00D8594E">
      <w:pPr>
        <w:jc w:val="both"/>
        <w:rPr>
          <w:color w:val="0070C0"/>
        </w:rPr>
      </w:pPr>
      <w:r w:rsidRPr="00B41E1F">
        <w:rPr>
          <w:color w:val="0070C0"/>
        </w:rPr>
        <w:lastRenderedPageBreak/>
        <w:t>A//</w:t>
      </w:r>
      <w:r w:rsidR="00B41E1F" w:rsidRPr="00B41E1F">
        <w:rPr>
          <w:color w:val="0070C0"/>
        </w:rPr>
        <w:t xml:space="preserve">  </w:t>
      </w:r>
      <w:r w:rsidR="00B41E1F" w:rsidRPr="00B41E1F">
        <w:rPr>
          <w:rFonts w:ascii="Segoe UI" w:hAnsi="Segoe UI" w:cs="Segoe UI"/>
          <w:color w:val="0070C0"/>
          <w:shd w:val="clear" w:color="auto" w:fill="FFFFFF"/>
        </w:rPr>
        <w:t>We agree. The revised manuscript now separates uncertainty sources into satellite retrieval limitations, spatial mismatch between point measurements and satellite pixels, daily reconstruction artifacts, model/horizon uncertainty, and unresolved ecological-driver uncertainty. We also added a new predictive-interval figure showing q10, q50, and q90 forecasts and report empirical 10–90% interval coverage. These results show that uncertainty intervals are informative but not perfectly calibrated, especially for Pucón Chronos Large at D7. The Discussion now interprets medium-range degradation as a combination of model horizon effects, reconstructed-target uncertainty, and missing exogenous drivers rather than only intrinsic ecological unpredictability.</w:t>
      </w:r>
    </w:p>
    <w:p w14:paraId="2E7EC642" w14:textId="77777777" w:rsidR="003376FB" w:rsidRDefault="003376FB" w:rsidP="00D8594E">
      <w:pPr>
        <w:jc w:val="both"/>
      </w:pPr>
      <w:r>
        <w:t>8. The models are trained and evaluated independently on the Pucon and Poza stations. While the results are promising at a 1-day horizon, there is no cross-site validation presented. To prove the generalizability of these foundation models in lake ecosystems, the authors should test whether a model trained on Pucon data can accurately predict dynamics at La Poza, or validate the framework on other Patagonian lakes.</w:t>
      </w:r>
    </w:p>
    <w:p w14:paraId="666D68B8" w14:textId="36B82154" w:rsidR="003376FB" w:rsidRPr="00B41E1F" w:rsidRDefault="003376FB" w:rsidP="00D8594E">
      <w:pPr>
        <w:jc w:val="both"/>
        <w:rPr>
          <w:color w:val="0070C0"/>
        </w:rPr>
      </w:pPr>
      <w:r w:rsidRPr="00B41E1F">
        <w:rPr>
          <w:color w:val="0070C0"/>
        </w:rPr>
        <w:t>A//</w:t>
      </w:r>
      <w:r w:rsidR="00B41E1F" w:rsidRPr="00B41E1F">
        <w:rPr>
          <w:color w:val="0070C0"/>
        </w:rPr>
        <w:t xml:space="preserve"> </w:t>
      </w:r>
      <w:r w:rsidR="00B41E1F" w:rsidRPr="00B41E1F">
        <w:rPr>
          <w:rFonts w:ascii="Segoe UI" w:hAnsi="Segoe UI" w:cs="Segoe UI"/>
          <w:color w:val="0070C0"/>
          <w:shd w:val="clear" w:color="auto" w:fill="FFFFFF"/>
        </w:rPr>
        <w:t>We agree. The revised manuscript now makes clear that the current TimesFM/Chronos experiments evaluate station-specific forecasting contexts and do not prove cross-site generalization. We added a reproducible cross-site baseline as a diagnostic, but because it is not a foundation-model transfer experiment, we frame it as a limitation rather than as evidence of generalizability. The manuscript now states that future work should evaluate transferred-context foundation forecasts and independent Patagonian lakes before generalizing beyond the two monitored Villarrica stations.</w:t>
      </w:r>
    </w:p>
    <w:p w14:paraId="5088A7D8" w14:textId="77777777" w:rsidR="003376FB" w:rsidRDefault="003376FB" w:rsidP="00D8594E">
      <w:pPr>
        <w:jc w:val="both"/>
      </w:pPr>
      <w:r>
        <w:t>9. Figure 2 is unreadable at 100% scale. The text is too small, and the excessive whitespace makes it visually unappealing. Please redraw the figure to improve its legibility.</w:t>
      </w:r>
    </w:p>
    <w:p w14:paraId="7119DE7F" w14:textId="77777777" w:rsidR="00B41E1F" w:rsidRPr="00B41E1F" w:rsidRDefault="003376FB" w:rsidP="00B41E1F">
      <w:pPr>
        <w:pStyle w:val="NormalWeb"/>
        <w:rPr>
          <w:rFonts w:ascii="Segoe UI" w:hAnsi="Segoe UI" w:cs="Segoe UI"/>
          <w:color w:val="0070C0"/>
        </w:rPr>
      </w:pPr>
      <w:r w:rsidRPr="00B41E1F">
        <w:rPr>
          <w:color w:val="0070C0"/>
        </w:rPr>
        <w:t>A//</w:t>
      </w:r>
      <w:r w:rsidR="00B41E1F" w:rsidRPr="00B41E1F">
        <w:rPr>
          <w:color w:val="0070C0"/>
        </w:rPr>
        <w:t xml:space="preserve"> </w:t>
      </w:r>
      <w:r w:rsidR="00B41E1F" w:rsidRPr="00B41E1F">
        <w:rPr>
          <w:rFonts w:ascii="Segoe UI" w:hAnsi="Segoe UI" w:cs="Segoe UI"/>
          <w:color w:val="0070C0"/>
        </w:rPr>
        <w:t>We agree and replaced Figure 2. The new version is generated from a version-controlled Mermaid source file and exported as both SVG and PNG. It uses larger text, grouped workflow lanes, reduced whitespace, and a cleaner left-to-right sequence that is legible at manuscript scale.</w:t>
      </w:r>
    </w:p>
    <w:p w14:paraId="5857E949" w14:textId="3BA41980" w:rsidR="003376FB" w:rsidRPr="003376FB" w:rsidRDefault="003376FB" w:rsidP="00D8594E">
      <w:pPr>
        <w:jc w:val="both"/>
        <w:rPr>
          <w:color w:val="0070C0"/>
        </w:rPr>
      </w:pPr>
    </w:p>
    <w:p w14:paraId="6957D4C4" w14:textId="77777777" w:rsidR="003376FB" w:rsidRDefault="003376FB" w:rsidP="00D8594E">
      <w:pPr>
        <w:jc w:val="both"/>
      </w:pPr>
      <w:r>
        <w:t xml:space="preserve">10. While Figure 2 outlines the preprocessing steps, the manuscript lacks a clear, overarching technical flowchart detailing the entire methodology. Given the complex integration of various data sources and multiple foundation models, a comprehensive roadmap is highly necessary. The authors should include a high-quality flowchart illustrating the end-to-end workflow—from data acquisition and feature engineering to model training, </w:t>
      </w:r>
      <w:r>
        <w:lastRenderedPageBreak/>
        <w:t>evaluation, and forecasting—to significantly improve the manuscript's readability and structural clarity.</w:t>
      </w:r>
    </w:p>
    <w:p w14:paraId="51541E7F" w14:textId="0892512B" w:rsidR="00B41E1F" w:rsidRPr="00B41E1F" w:rsidRDefault="00B41E1F" w:rsidP="00D8594E">
      <w:pPr>
        <w:jc w:val="both"/>
      </w:pPr>
      <w:r>
        <w:t>//creo que pide un resumen metodologico en figura</w:t>
      </w:r>
    </w:p>
    <w:p w14:paraId="026060BE" w14:textId="5E80AC7E" w:rsidR="00E82380" w:rsidRPr="00E82380" w:rsidRDefault="003376FB" w:rsidP="00D8594E">
      <w:pPr>
        <w:jc w:val="both"/>
        <w:rPr>
          <w:color w:val="0070C0"/>
        </w:rPr>
      </w:pPr>
      <w:r w:rsidRPr="00E82380">
        <w:rPr>
          <w:color w:val="0070C0"/>
        </w:rPr>
        <w:t>A//</w:t>
      </w:r>
      <w:r w:rsidR="00E82380" w:rsidRPr="00E82380">
        <w:rPr>
          <w:color w:val="0070C0"/>
        </w:rPr>
        <w:t xml:space="preserve"> </w:t>
      </w:r>
      <w:r w:rsidR="00E82380" w:rsidRPr="00E82380">
        <w:rPr>
          <w:rFonts w:cs="Segoe UI"/>
          <w:color w:val="0070C0"/>
          <w:shd w:val="clear" w:color="auto" w:fill="FFFFFF"/>
        </w:rPr>
        <w:t>We agree. The redesigned Figure 2 now provides the requested end-to-end technical roadmap, from raw data acquisition and provenance tracking through daily target construction, gap-aware reconstruction, feature/context assembly, foundation-model forecasting, diagnostic evaluation, and reviewer-response output</w:t>
      </w:r>
      <w:r w:rsidR="00FA1106">
        <w:rPr>
          <w:rFonts w:cs="Segoe UI"/>
          <w:color w:val="0070C0"/>
          <w:shd w:val="clear" w:color="auto" w:fill="FFFFFF"/>
        </w:rPr>
        <w:t>. Also we provide this figure to summarize the process in simple terms for the review</w:t>
      </w:r>
      <w:r w:rsidR="005B50C0">
        <w:rPr>
          <w:rFonts w:cs="Segoe UI"/>
          <w:color w:val="0070C0"/>
          <w:shd w:val="clear" w:color="auto" w:fill="FFFFFF"/>
        </w:rPr>
        <w:t>e</w:t>
      </w:r>
      <w:r w:rsidR="00FA1106">
        <w:rPr>
          <w:rFonts w:cs="Segoe UI"/>
          <w:color w:val="0070C0"/>
          <w:shd w:val="clear" w:color="auto" w:fill="FFFFFF"/>
        </w:rPr>
        <w:t>r</w:t>
      </w:r>
      <w:r w:rsidR="005B50C0">
        <w:rPr>
          <w:rFonts w:cs="Segoe UI"/>
          <w:color w:val="0070C0"/>
          <w:shd w:val="clear" w:color="auto" w:fill="FFFFFF"/>
        </w:rPr>
        <w:t>.</w:t>
      </w:r>
    </w:p>
    <w:p w14:paraId="1048E1D6" w14:textId="193787C5" w:rsidR="003E58D2" w:rsidRPr="00B41E1F" w:rsidRDefault="00E82380" w:rsidP="00D8594E">
      <w:pPr>
        <w:jc w:val="both"/>
        <w:rPr>
          <w:color w:val="0070C0"/>
        </w:rPr>
      </w:pPr>
      <w:r>
        <w:rPr>
          <w:noProof/>
          <w:color w:val="0070C0"/>
        </w:rPr>
        <w:drawing>
          <wp:inline distT="0" distB="0" distL="0" distR="0" wp14:anchorId="376EA0B6" wp14:editId="21C99646">
            <wp:extent cx="5943600" cy="1035050"/>
            <wp:effectExtent l="0" t="0" r="0" b="6350"/>
            <wp:docPr id="164656623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6239" name="Picture 2" descr="A diagram of a dia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035050"/>
                    </a:xfrm>
                    <a:prstGeom prst="rect">
                      <a:avLst/>
                    </a:prstGeom>
                  </pic:spPr>
                </pic:pic>
              </a:graphicData>
            </a:graphic>
          </wp:inline>
        </w:drawing>
      </w:r>
    </w:p>
    <w:sectPr w:rsidR="003E58D2" w:rsidRPr="00B41E1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ustos" w:date="2026-05-31T18:23:00Z" w:initials="DB">
    <w:p w14:paraId="26F82353" w14:textId="77777777" w:rsidR="005B50C0" w:rsidRDefault="005B50C0" w:rsidP="005B50C0">
      <w:r>
        <w:rPr>
          <w:rStyle w:val="CommentReference"/>
        </w:rPr>
        <w:annotationRef/>
      </w:r>
      <w:r>
        <w:rPr>
          <w:sz w:val="20"/>
          <w:szCs w:val="20"/>
        </w:rPr>
        <w:t>aqui creo que hace falta clarificar si vale la pena cambiar el titulo o no. Porque tiene como la duda de como se uso la informacion satelital.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823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19D936" w16cex:dateUtc="2026-05-31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82353" w16cid:durableId="5419D9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9D4"/>
    <w:multiLevelType w:val="multilevel"/>
    <w:tmpl w:val="54F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252F7"/>
    <w:multiLevelType w:val="multilevel"/>
    <w:tmpl w:val="14F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834C8"/>
    <w:multiLevelType w:val="hybridMultilevel"/>
    <w:tmpl w:val="E5743B38"/>
    <w:lvl w:ilvl="0" w:tplc="4EB627D2">
      <w:start w:val="2"/>
      <w:numFmt w:val="bullet"/>
      <w:lvlText w:val="-"/>
      <w:lvlJc w:val="left"/>
      <w:pPr>
        <w:ind w:left="720" w:hanging="360"/>
      </w:pPr>
      <w:rPr>
        <w:rFonts w:ascii="Menlo" w:eastAsiaTheme="majorEastAsia" w:hAnsi="Menlo" w:cs="Menl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029746">
    <w:abstractNumId w:val="1"/>
  </w:num>
  <w:num w:numId="2" w16cid:durableId="1089035447">
    <w:abstractNumId w:val="2"/>
  </w:num>
  <w:num w:numId="3" w16cid:durableId="10696212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ustos">
    <w15:presenceInfo w15:providerId="AD" w15:userId="S::David.Bustos@blend360.com::a2e9ebd5-9566-4d31-9ce8-699f40023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6FB"/>
    <w:rsid w:val="000F18DC"/>
    <w:rsid w:val="002C78EC"/>
    <w:rsid w:val="00303996"/>
    <w:rsid w:val="003376FB"/>
    <w:rsid w:val="003E58D2"/>
    <w:rsid w:val="004804E7"/>
    <w:rsid w:val="004C7BA9"/>
    <w:rsid w:val="005B50C0"/>
    <w:rsid w:val="005C24E7"/>
    <w:rsid w:val="006079D6"/>
    <w:rsid w:val="00864C64"/>
    <w:rsid w:val="009F70E4"/>
    <w:rsid w:val="00A71C0B"/>
    <w:rsid w:val="00B41E1F"/>
    <w:rsid w:val="00BD4BF9"/>
    <w:rsid w:val="00D8594E"/>
    <w:rsid w:val="00E5753A"/>
    <w:rsid w:val="00E82380"/>
    <w:rsid w:val="00FA1106"/>
    <w:rsid w:val="00FD6018"/>
    <w:rsid w:val="00FF2CC4"/>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58FA0FA2"/>
  <w15:chartTrackingRefBased/>
  <w15:docId w15:val="{AC09FA43-E88E-2D40-AFDC-C033B2CF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6FB"/>
    <w:rPr>
      <w:rFonts w:eastAsiaTheme="majorEastAsia" w:cstheme="majorBidi"/>
      <w:color w:val="272727" w:themeColor="text1" w:themeTint="D8"/>
    </w:rPr>
  </w:style>
  <w:style w:type="paragraph" w:styleId="Title">
    <w:name w:val="Title"/>
    <w:basedOn w:val="Normal"/>
    <w:next w:val="Normal"/>
    <w:link w:val="TitleChar"/>
    <w:uiPriority w:val="10"/>
    <w:qFormat/>
    <w:rsid w:val="00337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6FB"/>
    <w:pPr>
      <w:spacing w:before="160"/>
      <w:jc w:val="center"/>
    </w:pPr>
    <w:rPr>
      <w:i/>
      <w:iCs/>
      <w:color w:val="404040" w:themeColor="text1" w:themeTint="BF"/>
    </w:rPr>
  </w:style>
  <w:style w:type="character" w:customStyle="1" w:styleId="QuoteChar">
    <w:name w:val="Quote Char"/>
    <w:basedOn w:val="DefaultParagraphFont"/>
    <w:link w:val="Quote"/>
    <w:uiPriority w:val="29"/>
    <w:rsid w:val="003376FB"/>
    <w:rPr>
      <w:i/>
      <w:iCs/>
      <w:color w:val="404040" w:themeColor="text1" w:themeTint="BF"/>
    </w:rPr>
  </w:style>
  <w:style w:type="paragraph" w:styleId="ListParagraph">
    <w:name w:val="List Paragraph"/>
    <w:basedOn w:val="Normal"/>
    <w:uiPriority w:val="34"/>
    <w:qFormat/>
    <w:rsid w:val="003376FB"/>
    <w:pPr>
      <w:ind w:left="720"/>
      <w:contextualSpacing/>
    </w:pPr>
  </w:style>
  <w:style w:type="character" w:styleId="IntenseEmphasis">
    <w:name w:val="Intense Emphasis"/>
    <w:basedOn w:val="DefaultParagraphFont"/>
    <w:uiPriority w:val="21"/>
    <w:qFormat/>
    <w:rsid w:val="003376FB"/>
    <w:rPr>
      <w:i/>
      <w:iCs/>
      <w:color w:val="0F4761" w:themeColor="accent1" w:themeShade="BF"/>
    </w:rPr>
  </w:style>
  <w:style w:type="paragraph" w:styleId="IntenseQuote">
    <w:name w:val="Intense Quote"/>
    <w:basedOn w:val="Normal"/>
    <w:next w:val="Normal"/>
    <w:link w:val="IntenseQuoteChar"/>
    <w:uiPriority w:val="30"/>
    <w:qFormat/>
    <w:rsid w:val="00337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6FB"/>
    <w:rPr>
      <w:i/>
      <w:iCs/>
      <w:color w:val="0F4761" w:themeColor="accent1" w:themeShade="BF"/>
    </w:rPr>
  </w:style>
  <w:style w:type="character" w:styleId="IntenseReference">
    <w:name w:val="Intense Reference"/>
    <w:basedOn w:val="DefaultParagraphFont"/>
    <w:uiPriority w:val="32"/>
    <w:qFormat/>
    <w:rsid w:val="003376FB"/>
    <w:rPr>
      <w:b/>
      <w:bCs/>
      <w:smallCaps/>
      <w:color w:val="0F4761" w:themeColor="accent1" w:themeShade="BF"/>
      <w:spacing w:val="5"/>
    </w:rPr>
  </w:style>
  <w:style w:type="character" w:styleId="HTMLCode">
    <w:name w:val="HTML Code"/>
    <w:basedOn w:val="DefaultParagraphFont"/>
    <w:uiPriority w:val="99"/>
    <w:semiHidden/>
    <w:unhideWhenUsed/>
    <w:rsid w:val="006079D6"/>
    <w:rPr>
      <w:rFonts w:ascii="Courier New" w:eastAsia="Times New Roman" w:hAnsi="Courier New" w:cs="Courier New"/>
      <w:sz w:val="20"/>
      <w:szCs w:val="20"/>
    </w:rPr>
  </w:style>
  <w:style w:type="character" w:styleId="Hyperlink">
    <w:name w:val="Hyperlink"/>
    <w:basedOn w:val="DefaultParagraphFont"/>
    <w:uiPriority w:val="99"/>
    <w:unhideWhenUsed/>
    <w:rsid w:val="006079D6"/>
    <w:rPr>
      <w:color w:val="467886" w:themeColor="hyperlink"/>
      <w:u w:val="single"/>
    </w:rPr>
  </w:style>
  <w:style w:type="character" w:styleId="UnresolvedMention">
    <w:name w:val="Unresolved Mention"/>
    <w:basedOn w:val="DefaultParagraphFont"/>
    <w:uiPriority w:val="99"/>
    <w:semiHidden/>
    <w:unhideWhenUsed/>
    <w:rsid w:val="006079D6"/>
    <w:rPr>
      <w:color w:val="605E5C"/>
      <w:shd w:val="clear" w:color="auto" w:fill="E1DFDD"/>
    </w:rPr>
  </w:style>
  <w:style w:type="character" w:styleId="FollowedHyperlink">
    <w:name w:val="FollowedHyperlink"/>
    <w:basedOn w:val="DefaultParagraphFont"/>
    <w:uiPriority w:val="99"/>
    <w:semiHidden/>
    <w:unhideWhenUsed/>
    <w:rsid w:val="00864C64"/>
    <w:rPr>
      <w:color w:val="96607D" w:themeColor="followedHyperlink"/>
      <w:u w:val="single"/>
    </w:rPr>
  </w:style>
  <w:style w:type="paragraph" w:styleId="NormalWeb">
    <w:name w:val="Normal (Web)"/>
    <w:basedOn w:val="Normal"/>
    <w:uiPriority w:val="99"/>
    <w:semiHidden/>
    <w:unhideWhenUsed/>
    <w:rsid w:val="00B41E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5B50C0"/>
    <w:rPr>
      <w:sz w:val="16"/>
      <w:szCs w:val="16"/>
    </w:rPr>
  </w:style>
  <w:style w:type="paragraph" w:styleId="CommentText">
    <w:name w:val="annotation text"/>
    <w:basedOn w:val="Normal"/>
    <w:link w:val="CommentTextChar"/>
    <w:uiPriority w:val="99"/>
    <w:semiHidden/>
    <w:unhideWhenUsed/>
    <w:rsid w:val="005B50C0"/>
    <w:pPr>
      <w:spacing w:line="240" w:lineRule="auto"/>
    </w:pPr>
    <w:rPr>
      <w:sz w:val="20"/>
      <w:szCs w:val="20"/>
    </w:rPr>
  </w:style>
  <w:style w:type="character" w:customStyle="1" w:styleId="CommentTextChar">
    <w:name w:val="Comment Text Char"/>
    <w:basedOn w:val="DefaultParagraphFont"/>
    <w:link w:val="CommentText"/>
    <w:uiPriority w:val="99"/>
    <w:semiHidden/>
    <w:rsid w:val="005B50C0"/>
    <w:rPr>
      <w:sz w:val="20"/>
      <w:szCs w:val="20"/>
    </w:rPr>
  </w:style>
  <w:style w:type="paragraph" w:styleId="CommentSubject">
    <w:name w:val="annotation subject"/>
    <w:basedOn w:val="CommentText"/>
    <w:next w:val="CommentText"/>
    <w:link w:val="CommentSubjectChar"/>
    <w:uiPriority w:val="99"/>
    <w:semiHidden/>
    <w:unhideWhenUsed/>
    <w:rsid w:val="005B50C0"/>
    <w:rPr>
      <w:b/>
      <w:bCs/>
    </w:rPr>
  </w:style>
  <w:style w:type="character" w:customStyle="1" w:styleId="CommentSubjectChar">
    <w:name w:val="Comment Subject Char"/>
    <w:basedOn w:val="CommentTextChar"/>
    <w:link w:val="CommentSubject"/>
    <w:uiPriority w:val="99"/>
    <w:semiHidden/>
    <w:rsid w:val="005B50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fbustosus/transformers_forecaster_chlorophyll/blob/main/outputs/tables/preprocessing_footprint.csv" TargetMode="External"/><Relationship Id="rId13" Type="http://schemas.openxmlformats.org/officeDocument/2006/relationships/hyperlink" Target="https://github.com/dfbustosus/transformers_forecaster_chlorophyll/blob/main/outputs/tables/lag_correlation_by_model_d7.csv"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dfbustosus/transformers_forecaster_chlorophyll/blob/main/outputs/tables/station_date_coverage.csv" TargetMode="External"/><Relationship Id="rId12" Type="http://schemas.openxmlformats.org/officeDocument/2006/relationships/hyperlink" Target="https://github.com/dfbustosus/transformers_forecaster_chlorophyll/blob/main/outputs/tables/lag_diagnostics_d7.csv"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github.com/dfbustosus/transformers_forecaster_chlorophyll/blob/main/outputs/tables/data_inventory.csv" TargetMode="External"/><Relationship Id="rId11" Type="http://schemas.openxmlformats.org/officeDocument/2006/relationships/hyperlink" Target="https://github.com/dfbustosus/transformers_forecaster_chlorophyll/blob/main/outputs/tables/preprocessing_footprint.csv" TargetMode="External"/><Relationship Id="rId5" Type="http://schemas.openxmlformats.org/officeDocument/2006/relationships/hyperlink" Target="https://github.com/dfbustosus/transformers_forecaster_chlorophyll" TargetMode="External"/><Relationship Id="rId15" Type="http://schemas.microsoft.com/office/2011/relationships/commentsExtended" Target="commentsExtended.xml"/><Relationship Id="rId10" Type="http://schemas.openxmlformats.org/officeDocument/2006/relationships/hyperlink" Target="https://github.com/dfbustosus/transformers_forecaster_chlorophyll/blob/main/outputs/tables/chlorophyll_spike_review.cs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fbustosus/transformers_forecaster_chlorophyll/blob/main/outputs/tables/mixed_date_encoding_audit.csv"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2044</Words>
  <Characters>12759</Characters>
  <Application>Microsoft Office Word</Application>
  <DocSecurity>0</DocSecurity>
  <Lines>260</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Bustos</dc:creator>
  <cp:keywords/>
  <dc:description/>
  <cp:lastModifiedBy>David Bustos</cp:lastModifiedBy>
  <cp:revision>11</cp:revision>
  <dcterms:created xsi:type="dcterms:W3CDTF">2026-05-31T20:10:00Z</dcterms:created>
  <dcterms:modified xsi:type="dcterms:W3CDTF">2026-05-31T22:27:00Z</dcterms:modified>
</cp:coreProperties>
</file>