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olor w:val="1F4E79"/>
          <w:sz w:val="26"/>
          <w:szCs w:val="26"/>
        </w:rPr>
        <w:t xml:space="preserve">INSTITUCIÓN UNIVERSITARIA DE BARRANQUILLA – IUB</w:t>
      </w:r>
    </w:p>
    <w:p>
      <w:pPr>
        <w:spacing w:after="400" w:before="60"/>
        <w:jc w:val="center"/>
      </w:pPr>
      <w:r>
        <w:rPr>
          <w:rFonts w:ascii="Arial" w:cs="Arial" w:eastAsia="Arial" w:hAnsi="Arial"/>
          <w:color w:val="595959"/>
          <w:sz w:val="20"/>
          <w:szCs w:val="20"/>
        </w:rPr>
        <w:t xml:space="preserve">Vicerrectoría Académica | Módulo ADM18</w:t>
      </w:r>
    </w:p>
    <w:p>
      <w:pPr>
        <w:pBdr>
          <w:bottom w:val="single" w:color="2E75B6" w:sz="10" w:space="1"/>
        </w:pBdr>
        <w:spacing w:after="200" w:before="200"/>
        <w:jc w:val="center"/>
      </w:pPr>
    </w:p>
    <w:p>
      <w:pPr>
        <w:spacing w:after="100" w:before="300"/>
        <w:jc w:val="center"/>
      </w:pPr>
      <w:r>
        <w:rPr>
          <w:rFonts w:ascii="Arial" w:cs="Arial" w:eastAsia="Arial" w:hAnsi="Arial"/>
          <w:b/>
          <w:bCs/>
          <w:color w:val="C00000"/>
          <w:sz w:val="40"/>
          <w:szCs w:val="40"/>
        </w:rPr>
        <w:t xml:space="preserve">SEMANA 1</w:t>
      </w:r>
    </w:p>
    <w:p>
      <w:pPr>
        <w:spacing w:after="80" w:before="80"/>
        <w:jc w:val="center"/>
      </w:pPr>
      <w:r>
        <w:rPr>
          <w:rFonts w:ascii="Arial" w:cs="Arial" w:eastAsia="Arial" w:hAnsi="Arial"/>
          <w:b/>
          <w:bCs/>
          <w:color w:val="1F4E79"/>
          <w:sz w:val="32"/>
          <w:szCs w:val="32"/>
        </w:rPr>
        <w:t xml:space="preserve">La Organización como Sistema de Información</w:t>
      </w:r>
    </w:p>
    <w:p>
      <w:pPr>
        <w:spacing w:after="300" w:before="60"/>
        <w:jc w:val="center"/>
      </w:pPr>
      <w:r>
        <w:rPr>
          <w:rFonts w:ascii="Arial" w:cs="Arial" w:eastAsia="Arial" w:hAnsi="Arial"/>
          <w:i/>
          <w:iCs/>
          <w:color w:val="2E75B6"/>
          <w:sz w:val="22"/>
          <w:szCs w:val="22"/>
        </w:rPr>
        <w:t xml:space="preserve">¿Qué documentos genera BoxLatam y cómo los procesa tu cerebro?</w:t>
      </w:r>
    </w:p>
    <w:p>
      <w:pPr>
        <w:spacing w:after="0" w:before="0"/>
      </w:pPr>
      <w:r>
        <w:rPr>
          <w:sz w:val="20"/>
          <w:szCs w:val="20"/>
        </w:rP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tblGrid>
      <w:tr>
        <w:tc>
          <w:tcPr>
            <w:tcW w:type="dxa" w:w="26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4E79"/>
                <w:sz w:val="18"/>
                <w:szCs w:val="18"/>
              </w:rPr>
              <w:t xml:space="preserve">Módulo</w:t>
            </w:r>
          </w:p>
        </w:tc>
        <w:tc>
          <w:tcPr>
            <w:tcW w:type="dxa" w:w="71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ADM18 – Procesamiento de la Información en la Organización</w:t>
            </w:r>
          </w:p>
        </w:tc>
      </w:tr>
      <w:tr>
        <w:tc>
          <w:tcPr>
            <w:tcW w:type="dxa" w:w="26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4E79"/>
                <w:sz w:val="18"/>
                <w:szCs w:val="18"/>
              </w:rPr>
              <w:t xml:space="preserve">Docente</w:t>
            </w:r>
          </w:p>
        </w:tc>
        <w:tc>
          <w:tcPr>
            <w:tcW w:type="dxa" w:w="71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Diego Domínguez</w:t>
            </w:r>
          </w:p>
        </w:tc>
      </w:tr>
      <w:tr>
        <w:tc>
          <w:tcPr>
            <w:tcW w:type="dxa" w:w="26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4E79"/>
                <w:sz w:val="18"/>
                <w:szCs w:val="18"/>
              </w:rPr>
              <w:t xml:space="preserve">Semana / Fechas</w:t>
            </w:r>
          </w:p>
        </w:tc>
        <w:tc>
          <w:tcPr>
            <w:tcW w:type="dxa" w:w="71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Semana 1 – 18 al 23 de mayo de 2026</w:t>
            </w:r>
          </w:p>
        </w:tc>
      </w:tr>
      <w:tr>
        <w:tc>
          <w:tcPr>
            <w:tcW w:type="dxa" w:w="26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4E79"/>
                <w:sz w:val="18"/>
                <w:szCs w:val="18"/>
              </w:rPr>
              <w:t xml:space="preserve">RA del módulo</w:t>
            </w:r>
          </w:p>
        </w:tc>
        <w:tc>
          <w:tcPr>
            <w:tcW w:type="dxa" w:w="71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RA1 – Identificar las principales características de los documentos administrativos</w:t>
            </w:r>
          </w:p>
        </w:tc>
      </w:tr>
      <w:tr>
        <w:tc>
          <w:tcPr>
            <w:tcW w:type="dxa" w:w="26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4E79"/>
                <w:sz w:val="18"/>
                <w:szCs w:val="18"/>
              </w:rPr>
              <w:t xml:space="preserve">Hilo conductor</w:t>
            </w:r>
          </w:p>
        </w:tc>
        <w:tc>
          <w:tcPr>
            <w:tcW w:type="dxa" w:w="71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BoxLatam S.A.S. – Empresa de casillero virtual</w:t>
            </w:r>
          </w:p>
        </w:tc>
      </w:tr>
      <w:tr>
        <w:tc>
          <w:tcPr>
            <w:tcW w:type="dxa" w:w="26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4E79"/>
                <w:sz w:val="18"/>
                <w:szCs w:val="18"/>
              </w:rPr>
              <w:t xml:space="preserve">Audiencia</w:t>
            </w:r>
          </w:p>
        </w:tc>
        <w:tc>
          <w:tcPr>
            <w:tcW w:type="dxa" w:w="71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T.P. Comercio Exterior / T.P. Operaciones Empresariales</w:t>
            </w:r>
          </w:p>
        </w:tc>
      </w:tr>
    </w:tbl>
    <w:p>
      <w:pPr>
        <w:spacing w:after="0" w:before="0"/>
      </w:pPr>
      <w:r>
        <w:rPr>
          <w:sz w:val="20"/>
          <w:szCs w:val="20"/>
        </w:rPr>
        <w:t xml:space="preserve"/>
      </w:r>
    </w:p>
    <w:p>
      <w:pPr>
        <w:spacing w:after="0" w:before="0"/>
      </w:pPr>
      <w:r>
        <w:rPr>
          <w:sz w:val="20"/>
          <w:szCs w:val="20"/>
        </w:rPr>
        <w:t xml:space="preserve"/>
      </w:r>
    </w:p>
    <w:p>
      <w:pPr>
        <w:pBdr>
          <w:top w:val="single" w:color="2E75B6" w:sz="6" w:space="1"/>
        </w:pBdr>
        <w:spacing w:after="60" w:before="200"/>
        <w:jc w:val="center"/>
      </w:pPr>
      <w:r>
        <w:rPr>
          <w:rFonts w:ascii="Arial" w:cs="Arial" w:eastAsia="Arial" w:hAnsi="Arial"/>
          <w:i/>
          <w:iCs/>
          <w:color w:val="595959"/>
          <w:sz w:val="16"/>
          <w:szCs w:val="16"/>
        </w:rPr>
        <w:t xml:space="preserve">Guía contiene: Marco Teórico con fuentes primarias | Guía de clase (estilo OPI04) | Guía del estudiante | Rúbrica</w:t>
      </w:r>
    </w:p>
    <w:p>
      <w:r>
        <w:br w:type="page"/>
      </w:r>
    </w:p>
    <w:p>
      <w:pPr>
        <w:pStyle w:val="Heading1"/>
        <w:spacing w:after="120" w:before="300"/>
      </w:pPr>
      <w:r>
        <w:rPr>
          <w:rFonts w:ascii="Arial" w:cs="Arial" w:eastAsia="Arial" w:hAnsi="Arial"/>
          <w:b/>
          <w:bCs/>
          <w:color w:val="1F4E79"/>
          <w:sz w:val="28"/>
          <w:szCs w:val="28"/>
        </w:rPr>
        <w:t xml:space="preserve">PARTE A – MARCO TEÓRICO CON FUENTES PRIMARIAS</w:t>
      </w:r>
    </w:p>
    <w:p>
      <w:pPr>
        <w:pStyle w:val="Heading2"/>
        <w:spacing w:after="80" w:before="200"/>
      </w:pPr>
      <w:r>
        <w:rPr>
          <w:rFonts w:ascii="Arial" w:cs="Arial" w:eastAsia="Arial" w:hAnsi="Arial"/>
          <w:b/>
          <w:bCs/>
          <w:color w:val="2E75B6"/>
          <w:sz w:val="24"/>
          <w:szCs w:val="24"/>
        </w:rPr>
        <w:t xml:space="preserve">A.1 El documento como unidad de información organizacional</w:t>
      </w:r>
    </w:p>
    <w:p>
      <w:pPr>
        <w:spacing w:after="60" w:before="60"/>
        <w:jc w:val="both"/>
      </w:pPr>
      <w:r>
        <w:rPr>
          <w:rFonts w:ascii="Arial" w:cs="Arial" w:eastAsia="Arial" w:hAnsi="Arial"/>
          <w:b w:val="false"/>
          <w:bCs w:val="false"/>
          <w:i w:val="false"/>
          <w:iCs w:val="false"/>
          <w:color w:val="1A1A1A"/>
          <w:sz w:val="20"/>
          <w:szCs w:val="20"/>
        </w:rPr>
        <w:t xml:space="preserve">La norma internacional ISO 15489-1:2016 (Information and documentation — Records management) define un documento de archivo (record) como "información creada, recibida y mantenida como evidencia e información por una organización o persona, en cumplimiento de obligaciones legales o en la transacción de negocios" (ISO, 2016, §3.14). Esta definición es crucial porque establece tres dimensiones del documento: (1) es información estructurada, (2) responde a una función organizacional, y (3) tiene valor evidencial o transaccional.</w:t>
      </w:r>
    </w:p>
    <w:p>
      <w:pPr>
        <w:spacing w:after="40" w:before="40"/>
        <w:ind w:left="720"/>
      </w:pPr>
      <w:r>
        <w:rPr>
          <w:rFonts w:ascii="Arial" w:cs="Arial" w:eastAsia="Arial" w:hAnsi="Arial"/>
          <w:i/>
          <w:iCs/>
          <w:color w:val="595959"/>
          <w:sz w:val="16"/>
          <w:szCs w:val="16"/>
        </w:rPr>
        <w:t xml:space="preserve">ISO 15489-1:2016 – Information and documentation — Records management — Part 1: Concepts and principles. ISO, Ginebra, 2016. Disponible en: https://www.iso.org/standard/62542.html</w:t>
      </w:r>
    </w:p>
    <w:p>
      <w:pPr>
        <w:spacing w:after="0" w:before="0"/>
      </w:pPr>
      <w:r>
        <w:rPr>
          <w:sz w:val="20"/>
          <w:szCs w:val="20"/>
        </w:rPr>
        <w:t xml:space="preserve"/>
      </w:r>
    </w:p>
    <w:p>
      <w:pPr>
        <w:spacing w:after="60" w:before="60"/>
        <w:jc w:val="both"/>
      </w:pPr>
      <w:r>
        <w:rPr>
          <w:rFonts w:ascii="Arial" w:cs="Arial" w:eastAsia="Arial" w:hAnsi="Arial"/>
          <w:b w:val="false"/>
          <w:bCs w:val="false"/>
          <w:i w:val="false"/>
          <w:iCs w:val="false"/>
          <w:color w:val="1A1A1A"/>
          <w:sz w:val="20"/>
          <w:szCs w:val="20"/>
        </w:rPr>
        <w:t xml:space="preserve">El Consejo Internacional de Archivos (ICA, 2020) amplía esta perspectiva al señalar que los archivos y documentos son "la memoria colectiva de las organizaciones y de las sociedades". En su Plan Estratégico 2021–2024, el ICA establece que la gestión eficaz de documentos no es solo una función administrativa, sino una capacidad organizacional que permite la continuidad de las operaciones, la rendición de cuentas y la toma de decisiones informadas.</w:t>
      </w:r>
    </w:p>
    <w:p>
      <w:pPr>
        <w:spacing w:after="40" w:before="40"/>
        <w:ind w:left="720"/>
      </w:pPr>
      <w:r>
        <w:rPr>
          <w:rFonts w:ascii="Arial" w:cs="Arial" w:eastAsia="Arial" w:hAnsi="Arial"/>
          <w:i/>
          <w:iCs/>
          <w:color w:val="595959"/>
          <w:sz w:val="16"/>
          <w:szCs w:val="16"/>
        </w:rPr>
        <w:t xml:space="preserve">ICA – International Council on Archives (2020). Empowering Archives and the Profession 2021–2024: ICA New Strategic Plan. ICA, París. Disponible en: https://www.ica.org/en/empowering-archives-and-the-profession-2021-2024-ica-new-strategic-plan</w:t>
      </w:r>
    </w:p>
    <w:p>
      <w:pPr>
        <w:spacing w:after="0" w:before="0"/>
      </w:pPr>
      <w:r>
        <w:rPr>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375623" w:sz="8"/>
              <w:left w:val="single" w:color="375623" w:sz="8"/>
              <w:bottom w:val="single" w:color="375623" w:sz="8"/>
              <w:right w:val="single" w:color="375623" w:sz="8"/>
            </w:tcBorders>
            <w:shd w:fill="E2EFDA" w:val="clear"/>
            <w:tcMar>
              <w:top w:type="dxa" w:w="120"/>
              <w:left w:type="dxa" w:w="200"/>
              <w:bottom w:type="dxa" w:w="120"/>
              <w:right w:type="dxa" w:w="200"/>
            </w:tcMar>
          </w:tcPr>
          <w:p>
            <w:pPr>
              <w:jc w:val="left"/>
            </w:pPr>
            <w:r>
              <w:rPr>
                <w:rFonts w:ascii="Arial" w:cs="Arial" w:eastAsia="Arial" w:hAnsi="Arial"/>
                <w:color w:val="1A1A1A"/>
                <w:sz w:val="18"/>
                <w:szCs w:val="18"/>
              </w:rPr>
              <w:t xml:space="preserve">▶ CONEXIÓN CON BOXLATAM: Cada paquete que procesa BoxLatam S.A.S. genera al menos 6 documentos: (1) confirmación de recepción en Miami, (2) lista de empaque, (3) guía de carga aérea, (4) declaración CN 22 o CN 23 (para la aduana), (5) notificación al cliente de llegada a Barranquilla, (6) comprobante de entrega. Sin estos documentos, la operación no existe legalmente.</w:t>
            </w:r>
          </w:p>
        </w:tc>
      </w:tr>
    </w:tbl>
    <w:p>
      <w:pPr>
        <w:spacing w:after="0" w:before="0"/>
      </w:pPr>
      <w:r>
        <w:rPr>
          <w:sz w:val="20"/>
          <w:szCs w:val="20"/>
        </w:rPr>
        <w:t xml:space="preserve"/>
      </w:r>
    </w:p>
    <w:p>
      <w:pPr>
        <w:pStyle w:val="Heading2"/>
        <w:spacing w:after="80" w:before="200"/>
      </w:pPr>
      <w:r>
        <w:rPr>
          <w:rFonts w:ascii="Arial" w:cs="Arial" w:eastAsia="Arial" w:hAnsi="Arial"/>
          <w:b/>
          <w:bCs/>
          <w:color w:val="2E75B6"/>
          <w:sz w:val="24"/>
          <w:szCs w:val="24"/>
        </w:rPr>
        <w:t xml:space="preserve">A.2 Clasificación de documentos según función administrativa</w:t>
      </w:r>
    </w:p>
    <w:p>
      <w:pPr>
        <w:spacing w:after="60" w:before="60"/>
        <w:jc w:val="both"/>
      </w:pPr>
      <w:r>
        <w:rPr>
          <w:rFonts w:ascii="Arial" w:cs="Arial" w:eastAsia="Arial" w:hAnsi="Arial"/>
          <w:b w:val="false"/>
          <w:bCs w:val="false"/>
          <w:i w:val="false"/>
          <w:iCs w:val="false"/>
          <w:color w:val="1A1A1A"/>
          <w:sz w:val="20"/>
          <w:szCs w:val="20"/>
        </w:rPr>
        <w:t xml:space="preserve">La Guía Técnica Colombiana GTC 185:2009 de ICONTEC clasifica los documentos organizacionales por función comunicativa interna y externa. Establece que los principales tipos de comunicaciones escritas en las organizaciones son:</w:t>
      </w:r>
    </w:p>
    <w:p>
      <w:pPr>
        <w:spacing w:after="0" w:before="0"/>
      </w:pPr>
      <w:r>
        <w:rPr>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6146"/>
      </w:tblGrid>
      <w:tr>
        <w:tc>
          <w:tcPr>
            <w:tcW w:type="dxa" w:w="1600"/>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Tipo de documento</w:t>
            </w:r>
          </w:p>
        </w:tc>
        <w:tc>
          <w:tcPr>
            <w:tcW w:type="dxa" w:w="2000"/>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Función administrativa</w:t>
            </w:r>
          </w:p>
        </w:tc>
        <w:tc>
          <w:tcPr>
            <w:tcW w:type="dxa" w:w="6146"/>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Ejemplo en BoxLatam</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7"/>
                <w:szCs w:val="17"/>
              </w:rPr>
              <w:t xml:space="preserve">Carta comercial</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6"/>
                <w:szCs w:val="16"/>
              </w:rPr>
              <w:t xml:space="preserve">Comunicación externa formal entre organizaciones o personas</w:t>
            </w:r>
          </w:p>
        </w:tc>
        <w:tc>
          <w:tcPr>
            <w:tcW w:type="dxa" w:w="614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iCs/>
                <w:color w:val="1A1A1A"/>
                <w:sz w:val="16"/>
                <w:szCs w:val="16"/>
              </w:rPr>
              <w:t xml:space="preserve">Carta a cliente sobre paquete demorado</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7"/>
                <w:szCs w:val="17"/>
              </w:rPr>
              <w:t xml:space="preserve">Memorando</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6"/>
                <w:szCs w:val="16"/>
              </w:rPr>
              <w:t xml:space="preserve">Comunicación interna entre áreas o funcionarios de la misma organización</w:t>
            </w:r>
          </w:p>
        </w:tc>
        <w:tc>
          <w:tcPr>
            <w:tcW w:type="dxa" w:w="61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1A1A1A"/>
                <w:sz w:val="16"/>
                <w:szCs w:val="16"/>
              </w:rPr>
              <w:t xml:space="preserve">Memo de operaciones a gerencia sobre falla del tracking</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7"/>
                <w:szCs w:val="17"/>
              </w:rPr>
              <w:t xml:space="preserve">Circular</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6"/>
                <w:szCs w:val="16"/>
              </w:rPr>
              <w:t xml:space="preserve">Comunicación masiva interna o externa con el mismo contenido para varios destinatarios</w:t>
            </w:r>
          </w:p>
        </w:tc>
        <w:tc>
          <w:tcPr>
            <w:tcW w:type="dxa" w:w="614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iCs/>
                <w:color w:val="1A1A1A"/>
                <w:sz w:val="16"/>
                <w:szCs w:val="16"/>
              </w:rPr>
              <w:t xml:space="preserve">Circular a todos los clientes sobre nueva tarifa</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7"/>
                <w:szCs w:val="17"/>
              </w:rPr>
              <w:t xml:space="preserve">Acta</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6"/>
                <w:szCs w:val="16"/>
              </w:rPr>
              <w:t xml:space="preserve">Registro escrito del desarrollo y conclusiones de una reunión o evento</w:t>
            </w:r>
          </w:p>
        </w:tc>
        <w:tc>
          <w:tcPr>
            <w:tcW w:type="dxa" w:w="61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1A1A1A"/>
                <w:sz w:val="16"/>
                <w:szCs w:val="16"/>
              </w:rPr>
              <w:t xml:space="preserve">Acta del comité de crisis (semana de la crisis)</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7"/>
                <w:szCs w:val="17"/>
              </w:rPr>
              <w:t xml:space="preserve">Informe</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6"/>
                <w:szCs w:val="16"/>
              </w:rPr>
              <w:t xml:space="preserve">Documento que presenta el resultado de una gestión, investigación o actividad</w:t>
            </w:r>
          </w:p>
        </w:tc>
        <w:tc>
          <w:tcPr>
            <w:tcW w:type="dxa" w:w="614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iCs/>
                <w:color w:val="1A1A1A"/>
                <w:sz w:val="16"/>
                <w:szCs w:val="16"/>
              </w:rPr>
              <w:t xml:space="preserve">Informe de incidencias semana 28 jul–3 ago 2026</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7"/>
                <w:szCs w:val="17"/>
              </w:rPr>
              <w:t xml:space="preserve">Certificado</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6"/>
                <w:szCs w:val="16"/>
              </w:rPr>
              <w:t xml:space="preserve">Documento que da fe de un hecho o situación</w:t>
            </w:r>
          </w:p>
        </w:tc>
        <w:tc>
          <w:tcPr>
            <w:tcW w:type="dxa" w:w="61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1A1A1A"/>
                <w:sz w:val="16"/>
                <w:szCs w:val="16"/>
              </w:rPr>
              <w:t xml:space="preserve">Certificado de entrega de paquete al cliente</w:t>
            </w:r>
          </w:p>
        </w:tc>
      </w:tr>
    </w:tbl>
    <w:p>
      <w:pPr>
        <w:spacing w:after="40" w:before="40"/>
        <w:ind w:left="720"/>
      </w:pPr>
      <w:r>
        <w:rPr>
          <w:rFonts w:ascii="Arial" w:cs="Arial" w:eastAsia="Arial" w:hAnsi="Arial"/>
          <w:i/>
          <w:iCs/>
          <w:color w:val="595959"/>
          <w:sz w:val="16"/>
          <w:szCs w:val="16"/>
        </w:rPr>
        <w:t xml:space="preserve">ICONTEC – GTC 185:2009. Guía Técnica Colombiana – Documentación Organizacional. ICONTEC, Bogotá, 2009. §3 Términos y definiciones, §4 Aspectos generales para las comunicaciones. Disponible en tienda ICONTEC y en repositorios institucionales.</w:t>
      </w:r>
    </w:p>
    <w:p>
      <w:pPr>
        <w:spacing w:after="0" w:before="0"/>
      </w:pPr>
      <w:r>
        <w:rPr>
          <w:sz w:val="20"/>
          <w:szCs w:val="20"/>
        </w:rPr>
        <w:t xml:space="preserve"/>
      </w:r>
    </w:p>
    <w:p>
      <w:pPr>
        <w:pStyle w:val="Heading2"/>
        <w:spacing w:after="80" w:before="200"/>
      </w:pPr>
      <w:r>
        <w:rPr>
          <w:rFonts w:ascii="Arial" w:cs="Arial" w:eastAsia="Arial" w:hAnsi="Arial"/>
          <w:b/>
          <w:bCs/>
          <w:color w:val="2E75B6"/>
          <w:sz w:val="24"/>
          <w:szCs w:val="24"/>
        </w:rPr>
        <w:t xml:space="preserve">A.3 La cadena documental en el casillero virtual: el estándar WCO-UPU</w:t>
      </w:r>
    </w:p>
    <w:p>
      <w:pPr>
        <w:spacing w:after="60" w:before="60"/>
        <w:jc w:val="both"/>
      </w:pPr>
      <w:r>
        <w:rPr>
          <w:rFonts w:ascii="Arial" w:cs="Arial" w:eastAsia="Arial" w:hAnsi="Arial"/>
          <w:b w:val="false"/>
          <w:bCs w:val="false"/>
          <w:i w:val="false"/>
          <w:iCs w:val="false"/>
          <w:color w:val="1A1A1A"/>
          <w:sz w:val="20"/>
          <w:szCs w:val="20"/>
        </w:rPr>
        <w:t xml:space="preserve">El sistema de casillero virtual opera dentro del sistema postal internacional. El documento regulatorio de referencia global es el WCO–UPU Postal Customs Guide (2024 Final Edition), publicado conjuntamente por la Organización Mundial de Aduanas (WCO) y la Unión Postal Universal (UPU). Este documento describe los formularios estándar que acompañan todos los envíos postales internacionales:</w:t>
      </w:r>
    </w:p>
    <w:p>
      <w:pPr>
        <w:spacing w:after="0" w:before="0"/>
      </w:pPr>
      <w:r>
        <w:rPr>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DEEAF1" w:val="clear"/>
            <w:tcMar>
              <w:top w:type="dxa" w:w="120"/>
              <w:left w:type="dxa" w:w="200"/>
              <w:bottom w:type="dxa" w:w="120"/>
              <w:right w:type="dxa" w:w="200"/>
            </w:tcMar>
          </w:tcPr>
          <w:p>
            <w:pPr>
              <w:jc w:val="left"/>
            </w:pPr>
            <w:r>
              <w:rPr>
                <w:rFonts w:ascii="Arial" w:cs="Arial" w:eastAsia="Arial" w:hAnsi="Arial"/>
                <w:color w:val="1A1A1A"/>
                <w:sz w:val="18"/>
                <w:szCs w:val="18"/>
              </w:rPr>
              <w:t xml:space="preserve">📦 FORMULARIOS CN 22 Y CN 23 (WCO-UPU, 2024)
CN 22 – Customs Declaration (pequeños envíos, valor &lt; USD 300): Identifica el remitente, destinatario, descripción del contenido, peso y valor. Es el documento que el operador postal completa por mandato de la UPU para declaración aduanera.
CN 23 – Customs Declaration (paquetes de mayor valor): Incluye campos adicionales para país de origen, facturas comerciales, número de licencias de importación/exportación y declaraciones de peligrosidad.
En el contexto de BoxLatam: todos los paquetes que llegan a la bodega en Miami y son despachados a Colombia llevan obligatoriamente un CN 22 o CN 23. Estos son los primeros documentos de la cadena.</w:t>
            </w:r>
          </w:p>
        </w:tc>
      </w:tr>
    </w:tbl>
    <w:p>
      <w:pPr>
        <w:spacing w:after="40" w:before="40"/>
        <w:ind w:left="720"/>
      </w:pPr>
      <w:r>
        <w:rPr>
          <w:rFonts w:ascii="Arial" w:cs="Arial" w:eastAsia="Arial" w:hAnsi="Arial"/>
          <w:i/>
          <w:iCs/>
          <w:color w:val="595959"/>
          <w:sz w:val="16"/>
          <w:szCs w:val="16"/>
        </w:rPr>
        <w:t xml:space="preserve">WCO/UPU – Postal Customs Guide, Final Edition 2024. World Customs Organization (WCO) / Universal Postal Union (UPU), Bruselas/Berna, 2024. §IV.j "CN 22, CN 23 and CP 72 manifold set or commercial invoice", pp. 37–41. Disponible en: https://www.upu.int/UPU/media/upu/files/postalSolutions/programmesAndServices/postalSupplyChain/customs/guideWcoUPUCustomsEn.pdf</w:t>
      </w:r>
    </w:p>
    <w:p>
      <w:pPr>
        <w:spacing w:after="0" w:before="0"/>
      </w:pPr>
      <w:r>
        <w:rPr>
          <w:sz w:val="20"/>
          <w:szCs w:val="20"/>
        </w:rPr>
        <w:t xml:space="preserve"/>
      </w:r>
    </w:p>
    <w:p>
      <w:pPr>
        <w:pStyle w:val="Heading2"/>
        <w:spacing w:after="80" w:before="200"/>
      </w:pPr>
      <w:r>
        <w:rPr>
          <w:rFonts w:ascii="Arial" w:cs="Arial" w:eastAsia="Arial" w:hAnsi="Arial"/>
          <w:b/>
          <w:bCs/>
          <w:color w:val="2E75B6"/>
          <w:sz w:val="24"/>
          <w:szCs w:val="24"/>
        </w:rPr>
        <w:t xml:space="preserve">A.4 El cerebro como procesador de información documental</w:t>
      </w:r>
    </w:p>
    <w:p>
      <w:pPr>
        <w:spacing w:after="60" w:before="60"/>
        <w:jc w:val="both"/>
      </w:pPr>
      <w:r>
        <w:rPr>
          <w:rFonts w:ascii="Arial" w:cs="Arial" w:eastAsia="Arial" w:hAnsi="Arial"/>
          <w:b w:val="false"/>
          <w:bCs w:val="false"/>
          <w:i w:val="false"/>
          <w:iCs w:val="false"/>
          <w:color w:val="1A1A1A"/>
          <w:sz w:val="20"/>
          <w:szCs w:val="20"/>
        </w:rPr>
        <w:t xml:space="preserve">Comprender cómo el ser humano procesa información documental no es un tema de neurología clínica: es una herramienta práctica para diseñar mejores documentos y para leerlos más eficientemente. La investigación cognitiva ofrece principios directamente aplicables a la gestión documental.</w:t>
      </w:r>
    </w:p>
    <w:p>
      <w:pPr>
        <w:spacing w:after="0" w:before="0"/>
      </w:pPr>
      <w:r>
        <w:rPr>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c>
          <w:tcPr>
            <w:tcW w:type="dxa" w:w="2000"/>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Principio cognitivo</w:t>
            </w:r>
          </w:p>
        </w:tc>
        <w:tc>
          <w:tcPr>
            <w:tcW w:type="dxa" w:w="7746"/>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Aplicación en documentos administrativos</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7"/>
                <w:szCs w:val="17"/>
              </w:rPr>
              <w:t xml:space="preserve">Límite de la memoria de trabajo: 7 ± 2 elementos (Miller, 1956)</w:t>
            </w:r>
          </w:p>
        </w:tc>
        <w:tc>
          <w:tcPr>
            <w:tcW w:type="dxa" w:w="774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6"/>
                <w:szCs w:val="16"/>
              </w:rPr>
              <w:t xml:space="preserve">Un documento con más de 7 puntos principales o secciones sin estructura visual sobrecarga la memoria de trabajo del lector. La GTC 185 establece zonas claras del documento justamente por esto.</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7"/>
                <w:szCs w:val="17"/>
              </w:rPr>
              <w:t xml:space="preserve">Modelo de memoria de trabajo de Baddeley (2000)</w:t>
            </w:r>
          </w:p>
        </w:tc>
        <w:tc>
          <w:tcPr>
            <w:tcW w:type="dxa" w:w="77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6"/>
                <w:szCs w:val="16"/>
              </w:rPr>
              <w:t xml:space="preserve">El cerebro procesa texto (bucle fonológico) e imágenes/estructura (agenda visuoespacial) por canales separados. Un documento bien estructurado (márgenes, títulos, zonas) activa ambos canales de forma complementaria.</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7"/>
                <w:szCs w:val="17"/>
              </w:rPr>
              <w:t xml:space="preserve">Sistema 1 vs. Sistema 2 (Kahneman, 2011)</w:t>
            </w:r>
          </w:p>
        </w:tc>
        <w:tc>
          <w:tcPr>
            <w:tcW w:type="dxa" w:w="774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6"/>
                <w:szCs w:val="16"/>
              </w:rPr>
              <w:t xml:space="preserve">El Sistema 1 (rápido, automático) reconoce la estructura del documento; el Sistema 2 (lento, deliberado) procesa su contenido. Un documento bien organizado reduce la carga sobre el Sistema 2.</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7"/>
                <w:szCs w:val="17"/>
              </w:rPr>
              <w:t xml:space="preserve">Efecto de primacía y recencia</w:t>
            </w:r>
          </w:p>
        </w:tc>
        <w:tc>
          <w:tcPr>
            <w:tcW w:type="dxa" w:w="77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6"/>
                <w:szCs w:val="16"/>
              </w:rPr>
              <w:t xml:space="preserve">Las personas recuerdan mejor el inicio y el final de un documento. Por eso, en redacción administrativa, el asunto o el objeto del documento va al principio, y el llamado a la acción va al final.</w:t>
            </w:r>
          </w:p>
        </w:tc>
      </w:tr>
    </w:tbl>
    <w:p>
      <w:pPr>
        <w:spacing w:after="40" w:before="40"/>
        <w:ind w:left="720"/>
      </w:pPr>
      <w:r>
        <w:rPr>
          <w:rFonts w:ascii="Arial" w:cs="Arial" w:eastAsia="Arial" w:hAnsi="Arial"/>
          <w:i/>
          <w:iCs/>
          <w:color w:val="595959"/>
          <w:sz w:val="16"/>
          <w:szCs w:val="16"/>
        </w:rPr>
        <w:t xml:space="preserve">Miller, G.A. (1956). The Magical Number Seven, Plus or Minus Two: Some Limits on our Capacity for Processing Information. Psychological Review, 63(2), 81–97. DOI: 10.1037/h0043158</w:t>
      </w:r>
    </w:p>
    <w:p>
      <w:pPr>
        <w:spacing w:after="40" w:before="40"/>
        <w:ind w:left="720"/>
      </w:pPr>
      <w:r>
        <w:rPr>
          <w:rFonts w:ascii="Arial" w:cs="Arial" w:eastAsia="Arial" w:hAnsi="Arial"/>
          <w:i/>
          <w:iCs/>
          <w:color w:val="595959"/>
          <w:sz w:val="16"/>
          <w:szCs w:val="16"/>
        </w:rPr>
        <w:t xml:space="preserve">Baddeley, A.D. (2000). The episodic buffer: a new component of working memory? Trends in Cognitive Sciences, 4(11), 417–423. DOI: 10.1016/S1364-6613(00)01538-2</w:t>
      </w:r>
    </w:p>
    <w:p>
      <w:pPr>
        <w:spacing w:after="40" w:before="40"/>
        <w:ind w:left="720"/>
      </w:pPr>
      <w:r>
        <w:rPr>
          <w:rFonts w:ascii="Arial" w:cs="Arial" w:eastAsia="Arial" w:hAnsi="Arial"/>
          <w:i/>
          <w:iCs/>
          <w:color w:val="595959"/>
          <w:sz w:val="16"/>
          <w:szCs w:val="16"/>
        </w:rPr>
        <w:t xml:space="preserve">Kahneman, D. (2011). Thinking, Fast and Slow. Farrar, Straus and Giroux, New York. Cap. 1, pp. 19–30.</w:t>
      </w:r>
    </w:p>
    <w:p>
      <w:pPr>
        <w:spacing w:after="0" w:before="0"/>
      </w:pPr>
      <w:r>
        <w:rPr>
          <w:sz w:val="20"/>
          <w:szCs w:val="20"/>
        </w:rPr>
        <w:t xml:space="preserve"/>
      </w:r>
    </w:p>
    <w:p>
      <w:r>
        <w:br w:type="page"/>
      </w:r>
    </w:p>
    <w:p>
      <w:pPr>
        <w:pStyle w:val="Heading1"/>
        <w:spacing w:after="120" w:before="300"/>
      </w:pPr>
      <w:r>
        <w:rPr>
          <w:rFonts w:ascii="Arial" w:cs="Arial" w:eastAsia="Arial" w:hAnsi="Arial"/>
          <w:b/>
          <w:bCs/>
          <w:color w:val="1F4E79"/>
          <w:sz w:val="28"/>
          <w:szCs w:val="28"/>
        </w:rPr>
        <w:t xml:space="preserve">PARTE B – GUÍA DE CLASE (SEMANA 1 – ESTILO OPI04)</w:t>
      </w:r>
    </w:p>
    <w:p>
      <w:pPr>
        <w:pStyle w:val="Heading2"/>
        <w:spacing w:after="80" w:before="200"/>
      </w:pPr>
      <w:r>
        <w:rPr>
          <w:rFonts w:ascii="Arial" w:cs="Arial" w:eastAsia="Arial" w:hAnsi="Arial"/>
          <w:b/>
          <w:bCs/>
          <w:color w:val="2E75B6"/>
          <w:sz w:val="24"/>
          <w:szCs w:val="24"/>
        </w:rPr>
        <w:t xml:space="preserve">B.1 Objetivos de la sesión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375623" w:sz="8"/>
              <w:left w:val="single" w:color="375623" w:sz="8"/>
              <w:bottom w:val="single" w:color="375623" w:sz="8"/>
              <w:right w:val="single" w:color="375623" w:sz="8"/>
            </w:tcBorders>
            <w:shd w:fill="E2EFDA" w:val="clear"/>
            <w:tcMar>
              <w:top w:type="dxa" w:w="120"/>
              <w:left w:type="dxa" w:w="200"/>
              <w:bottom w:type="dxa" w:w="120"/>
              <w:right w:type="dxa" w:w="200"/>
            </w:tcMar>
          </w:tcPr>
          <w:p>
            <w:pPr>
              <w:jc w:val="left"/>
            </w:pPr>
            <w:r>
              <w:rPr>
                <w:rFonts w:ascii="Arial" w:cs="Arial" w:eastAsia="Arial" w:hAnsi="Arial"/>
                <w:color w:val="1A1A1A"/>
                <w:sz w:val="18"/>
                <w:szCs w:val="18"/>
              </w:rPr>
              <w:t xml:space="preserve">Objetivo general: Activar los saberes previos de los estudiantes sobre documentos administrativos mediante un diagnóstico cognitivo, e introducir el hilo conductor del módulo (BoxLatam S.A.S.) como contexto para el aprendizaje de los RA 1 a 4.
Objetivos específicos:
• Que el estudiante identifique al menos 5 tipos de documentos administrativos y los relacione con funciones organizacionales reales.
• Que el estudiante describa en sus propias palabras cómo el cerebro procesa información documental.
• Que el estudiante reconozca el caso BoxLatam S.A.S. y los documentos que genera en su cadena operativa.</w:t>
            </w:r>
          </w:p>
        </w:tc>
      </w:tr>
    </w:tbl>
    <w:p>
      <w:pPr>
        <w:spacing w:after="0" w:before="0"/>
      </w:pPr>
      <w:r>
        <w:rPr>
          <w:sz w:val="20"/>
          <w:szCs w:val="20"/>
        </w:rPr>
        <w:t xml:space="preserve"/>
      </w:r>
    </w:p>
    <w:p>
      <w:pPr>
        <w:pStyle w:val="Heading2"/>
        <w:spacing w:after="80" w:before="200"/>
      </w:pPr>
      <w:r>
        <w:rPr>
          <w:rFonts w:ascii="Arial" w:cs="Arial" w:eastAsia="Arial" w:hAnsi="Arial"/>
          <w:b/>
          <w:bCs/>
          <w:color w:val="2E75B6"/>
          <w:sz w:val="24"/>
          <w:szCs w:val="24"/>
        </w:rPr>
        <w:t xml:space="preserve">B.2 Lineamientos generales de la sesión</w:t>
      </w:r>
    </w:p>
    <w:p>
      <w:pPr>
        <w:spacing w:after="60" w:before="60"/>
        <w:jc w:val="both"/>
      </w:pPr>
      <w:r>
        <w:rPr>
          <w:rFonts w:ascii="Arial" w:cs="Arial" w:eastAsia="Arial" w:hAnsi="Arial"/>
          <w:b w:val="false"/>
          <w:bCs w:val="false"/>
          <w:i w:val="false"/>
          <w:iCs w:val="false"/>
          <w:color w:val="1A1A1A"/>
          <w:sz w:val="20"/>
          <w:szCs w:val="20"/>
        </w:rPr>
        <w:t xml:space="preserve">Esta sesión de 4 horas tiene dos propósitos que parecen distintos pero están conectados: (1) hacer un diagnóstico del grupo y (2) presentar el hilo conductor del módulo. La clave es que el diagnóstico NO se siente como una evaluación, sino como una exploración. El tono debe ser conversacional y cercano desde el primer momento.</w:t>
      </w:r>
    </w:p>
    <w:p>
      <w:pPr>
        <w:spacing w:after="0" w:before="0"/>
      </w:pPr>
      <w:r>
        <w:rPr>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7946"/>
      </w:tblGrid>
      <w:tr>
        <w:tc>
          <w:tcPr>
            <w:tcW w:type="dxa" w:w="700"/>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Tiempo</w:t>
            </w:r>
          </w:p>
        </w:tc>
        <w:tc>
          <w:tcPr>
            <w:tcW w:type="dxa" w:w="1100"/>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Segmento</w:t>
            </w:r>
          </w:p>
        </w:tc>
        <w:tc>
          <w:tcPr>
            <w:tcW w:type="dxa" w:w="7946"/>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Descripción</w:t>
            </w:r>
          </w:p>
        </w:tc>
      </w:tr>
      <w:tr>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6"/>
                <w:szCs w:val="16"/>
              </w:rPr>
              <w:t xml:space="preserve">0:00–0:20</w:t>
            </w:r>
          </w:p>
        </w:tc>
        <w:tc>
          <w:tcPr>
            <w:tcW w:type="dxa" w:w="1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6"/>
                <w:szCs w:val="16"/>
              </w:rPr>
              <w:t xml:space="preserve">Bienvenida</w:t>
            </w:r>
          </w:p>
        </w:tc>
        <w:tc>
          <w:tcPr>
            <w:tcW w:type="dxa" w:w="794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6"/>
                <w:szCs w:val="16"/>
              </w:rPr>
              <w:t xml:space="preserve">Presentación del docente. Reglas del módulo en máx. 5 enunciados. Presentación de BoxLatam S.A.S. en 3 imágenes o un párrafo: "Esta empresa será nuestro laboratorio durante 14 semanas."</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6"/>
                <w:szCs w:val="16"/>
              </w:rPr>
              <w:t xml:space="preserve">0:20–0:50</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6"/>
                <w:szCs w:val="16"/>
              </w:rPr>
              <w:t xml:space="preserve">Mini-clase: cerebro</w:t>
            </w:r>
          </w:p>
        </w:tc>
        <w:tc>
          <w:tcPr>
            <w:tcW w:type="dxa" w:w="79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6"/>
                <w:szCs w:val="16"/>
              </w:rPr>
              <w:t xml:space="preserve">Tres ideas cognitivas (Miller, Baddeley, Kahneman). Máx. 3 diapositivas. Analogías cotidianas, no terminología clínica. Cierre: "¿Cómo diseñarías un documento para que tu cerebro lo entienda fácil?"</w:t>
            </w:r>
          </w:p>
        </w:tc>
      </w:tr>
      <w:tr>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6"/>
                <w:szCs w:val="16"/>
              </w:rPr>
              <w:t xml:space="preserve">0:50–1:05</w:t>
            </w:r>
          </w:p>
        </w:tc>
        <w:tc>
          <w:tcPr>
            <w:tcW w:type="dxa" w:w="1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6"/>
                <w:szCs w:val="16"/>
              </w:rPr>
              <w:t xml:space="preserve">Reflexión individual</w:t>
            </w:r>
          </w:p>
        </w:tc>
        <w:tc>
          <w:tcPr>
            <w:tcW w:type="dxa" w:w="794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6"/>
                <w:szCs w:val="16"/>
              </w:rPr>
              <w:t xml:space="preserve">Responder en papel o chat: "¿Cómo proceso YO la información? ¿Qué me ayuda a aprender?" No se recoge. Activa metacognición.</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6"/>
                <w:szCs w:val="16"/>
              </w:rPr>
              <w:t xml:space="preserve">1:05–1:30</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6"/>
                <w:szCs w:val="16"/>
              </w:rPr>
              <w:t xml:space="preserve">Quizizz diagnóstico</w:t>
            </w:r>
          </w:p>
        </w:tc>
        <w:tc>
          <w:tcPr>
            <w:tcW w:type="dxa" w:w="79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6"/>
                <w:szCs w:val="16"/>
              </w:rPr>
              <w:t xml:space="preserve">20 preguntas (ver diseño en el documento principal). Discutir 3 preguntas con más errores.</w:t>
            </w:r>
          </w:p>
        </w:tc>
      </w:tr>
      <w:tr>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6"/>
                <w:szCs w:val="16"/>
              </w:rPr>
              <w:t xml:space="preserve">1:30–1:45</w:t>
            </w:r>
          </w:p>
        </w:tc>
        <w:tc>
          <w:tcPr>
            <w:tcW w:type="dxa" w:w="1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6"/>
                <w:szCs w:val="16"/>
              </w:rPr>
              <w:t xml:space="preserve">Descanso</w:t>
            </w:r>
          </w:p>
        </w:tc>
        <w:tc>
          <w:tcPr>
            <w:tcW w:type="dxa" w:w="794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6"/>
                <w:szCs w:val="16"/>
              </w:rPr>
              <w:t xml:space="preserve">—</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6"/>
                <w:szCs w:val="16"/>
              </w:rPr>
              <w:t xml:space="preserve">1:45–2:15</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6"/>
                <w:szCs w:val="16"/>
              </w:rPr>
              <w:t xml:space="preserve">Prueba diagnóstica</w:t>
            </w:r>
          </w:p>
        </w:tc>
        <w:tc>
          <w:tcPr>
            <w:tcW w:type="dxa" w:w="79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6"/>
                <w:szCs w:val="16"/>
              </w:rPr>
              <w:t xml:space="preserve">10 preguntas abiertas breves. Se revisa en clase con proyección de respuestas esperadas. No calificada.</w:t>
            </w:r>
          </w:p>
        </w:tc>
      </w:tr>
      <w:tr>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6"/>
                <w:szCs w:val="16"/>
              </w:rPr>
              <w:t xml:space="preserve">2:15–3:00</w:t>
            </w:r>
          </w:p>
        </w:tc>
        <w:tc>
          <w:tcPr>
            <w:tcW w:type="dxa" w:w="1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6"/>
                <w:szCs w:val="16"/>
              </w:rPr>
              <w:t xml:space="preserve">Intro a BoxLatam</w:t>
            </w:r>
          </w:p>
        </w:tc>
        <w:tc>
          <w:tcPr>
            <w:tcW w:type="dxa" w:w="794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6"/>
                <w:szCs w:val="16"/>
              </w:rPr>
              <w:t xml:space="preserve">¿Qué es un casillero virtual? ¿Cómo opera BoxLatam? Documentos que genera (con referencia a CN 22/CN 23 como contexto, no como profundización). Los estudiantes identifican 5 documentos en el flujograma.</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6"/>
                <w:szCs w:val="16"/>
              </w:rPr>
              <w:t xml:space="preserve">3:00–3:45</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6"/>
                <w:szCs w:val="16"/>
              </w:rPr>
              <w:t xml:space="preserve">Actividad de clasificación</w:t>
            </w:r>
          </w:p>
        </w:tc>
        <w:tc>
          <w:tcPr>
            <w:tcW w:type="dxa" w:w="79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6"/>
                <w:szCs w:val="16"/>
              </w:rPr>
              <w:t xml:space="preserve">En parejas: clasificar 8 documentos de BoxLatam según función administrativa (tabla GTC 185). Presentar en 2 min. Retroalimentación breve.</w:t>
            </w:r>
          </w:p>
        </w:tc>
      </w:tr>
      <w:tr>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6"/>
                <w:szCs w:val="16"/>
              </w:rPr>
              <w:t xml:space="preserve">3:45–4:00</w:t>
            </w:r>
          </w:p>
        </w:tc>
        <w:tc>
          <w:tcPr>
            <w:tcW w:type="dxa" w:w="1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6"/>
                <w:szCs w:val="16"/>
              </w:rPr>
              <w:t xml:space="preserve">Cierre reflexivo</w:t>
            </w:r>
          </w:p>
        </w:tc>
        <w:tc>
          <w:tcPr>
            <w:tcW w:type="dxa" w:w="794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6"/>
                <w:szCs w:val="16"/>
              </w:rPr>
              <w:t xml:space="preserve">3 preguntas orales (ver diseño principal). Orientaciones para Semana 2 virtual.</w:t>
            </w:r>
          </w:p>
        </w:tc>
      </w:tr>
    </w:tbl>
    <w:p>
      <w:pPr>
        <w:spacing w:after="0" w:before="0"/>
      </w:pPr>
      <w:r>
        <w:rPr>
          <w:sz w:val="20"/>
          <w:szCs w:val="20"/>
        </w:rPr>
        <w:t xml:space="preserve"/>
      </w:r>
    </w:p>
    <w:p>
      <w:pPr>
        <w:pStyle w:val="Heading2"/>
        <w:spacing w:after="80" w:before="200"/>
      </w:pPr>
      <w:r>
        <w:rPr>
          <w:rFonts w:ascii="Arial" w:cs="Arial" w:eastAsia="Arial" w:hAnsi="Arial"/>
          <w:b/>
          <w:bCs/>
          <w:color w:val="2E75B6"/>
          <w:sz w:val="24"/>
          <w:szCs w:val="24"/>
        </w:rPr>
        <w:t xml:space="preserve">B.3 Actividad de clasificación – Instrucciones para el docente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DEEAF1" w:val="clear"/>
            <w:tcMar>
              <w:top w:type="dxa" w:w="120"/>
              <w:left w:type="dxa" w:w="200"/>
              <w:bottom w:type="dxa" w:w="120"/>
              <w:right w:type="dxa" w:w="200"/>
            </w:tcMar>
          </w:tcPr>
          <w:p>
            <w:pPr>
              <w:jc w:val="left"/>
            </w:pPr>
            <w:r>
              <w:rPr>
                <w:rFonts w:ascii="Arial" w:cs="Arial" w:eastAsia="Arial" w:hAnsi="Arial"/>
                <w:color w:val="1A1A1A"/>
                <w:sz w:val="18"/>
                <w:szCs w:val="18"/>
              </w:rPr>
              <w:t xml:space="preserve">MATERIALES NECESARIOS:
• 8 tarjetas impresas o proyectadas con documentos ficticios de BoxLatam: (1) CN 22 de un paquete, (2) correo electrónico a cliente, (3) memorando interno de logística, (4) circular sobre cambio de tarifas, (5) acta de reunión operativa, (6) carta de reclamo a aerolínea, (7) informe semanal de incidencias, (8) confirmación de entrega con firma del cliente.
INSTRUCCIÓN PARA ESTUDIANTES: "Clasifica cada documento según su función administrativa: ¿es una carta, un memorando, una circular, un acta, un informe o un certificado? Justifica en una oración por qué."
EVALUACIÓN EN CLASE: el docente circula y pone V°B° a la clasificación. Al final, un par expone su tabla. Se corrige colectivamente. Tiempo: 45 minutos. No hay entregable digital.</w:t>
            </w:r>
          </w:p>
        </w:tc>
      </w:tr>
    </w:tbl>
    <w:p>
      <w:pPr>
        <w:spacing w:after="0" w:before="0"/>
      </w:pPr>
      <w:r>
        <w:rPr>
          <w:sz w:val="20"/>
          <w:szCs w:val="20"/>
        </w:rPr>
        <w:t xml:space="preserve"/>
      </w:r>
    </w:p>
    <w:p>
      <w:r>
        <w:br w:type="page"/>
      </w:r>
    </w:p>
    <w:p>
      <w:pPr>
        <w:pStyle w:val="Heading1"/>
        <w:spacing w:after="120" w:before="300"/>
      </w:pPr>
      <w:r>
        <w:rPr>
          <w:rFonts w:ascii="Arial" w:cs="Arial" w:eastAsia="Arial" w:hAnsi="Arial"/>
          <w:b/>
          <w:bCs/>
          <w:color w:val="1F4E79"/>
          <w:sz w:val="28"/>
          <w:szCs w:val="28"/>
        </w:rPr>
        <w:t xml:space="preserve">PARTE C – GUÍA DEL ESTUDIANTE</w:t>
      </w:r>
    </w:p>
    <w:p>
      <w:pPr>
        <w:pStyle w:val="Heading2"/>
        <w:spacing w:after="80" w:before="200"/>
      </w:pPr>
      <w:r>
        <w:rPr>
          <w:rFonts w:ascii="Arial" w:cs="Arial" w:eastAsia="Arial" w:hAnsi="Arial"/>
          <w:b/>
          <w:bCs/>
          <w:color w:val="2E75B6"/>
          <w:sz w:val="24"/>
          <w:szCs w:val="24"/>
        </w:rPr>
        <w:t xml:space="preserve">C.1 ¿Qué aprenderás esta semana?</w:t>
      </w:r>
    </w:p>
    <w:p>
      <w:pPr>
        <w:spacing w:after="60" w:before="60"/>
        <w:jc w:val="both"/>
      </w:pPr>
      <w:r>
        <w:rPr>
          <w:rFonts w:ascii="Arial" w:cs="Arial" w:eastAsia="Arial" w:hAnsi="Arial"/>
          <w:b w:val="false"/>
          <w:bCs w:val="false"/>
          <w:i w:val="false"/>
          <w:iCs w:val="false"/>
          <w:color w:val="1A1A1A"/>
          <w:sz w:val="20"/>
          <w:szCs w:val="20"/>
        </w:rPr>
        <w:t xml:space="preserve">Esta semana es el punto de partida del módulo. Antes de aprender a redactar o a gestionar documentos, necesitas entender DOS cosas: (1) qué son los documentos administrativos y por qué existen, y (2) cómo funciona tu propio cerebro cuando procesa información. Estas dos cosas están más conectadas de lo que parecen.</w:t>
      </w:r>
    </w:p>
    <w:p>
      <w:pPr>
        <w:spacing w:after="0" w:before="0"/>
      </w:pPr>
      <w:r>
        <w:rPr>
          <w:sz w:val="20"/>
          <w:szCs w:val="20"/>
        </w:rPr>
        <w:t xml:space="preserve"/>
      </w:r>
    </w:p>
    <w:p>
      <w:pPr>
        <w:pStyle w:val="Heading2"/>
        <w:spacing w:after="80" w:before="200"/>
      </w:pPr>
      <w:r>
        <w:rPr>
          <w:rFonts w:ascii="Arial" w:cs="Arial" w:eastAsia="Arial" w:hAnsi="Arial"/>
          <w:b/>
          <w:bCs/>
          <w:color w:val="2E75B6"/>
          <w:sz w:val="24"/>
          <w:szCs w:val="24"/>
        </w:rPr>
        <w:t xml:space="preserve">C.2 Lectura de preparación (para antes de clase)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375623" w:sz="8"/>
              <w:left w:val="single" w:color="375623" w:sz="8"/>
              <w:bottom w:val="single" w:color="375623" w:sz="8"/>
              <w:right w:val="single" w:color="375623" w:sz="8"/>
            </w:tcBorders>
            <w:shd w:fill="E2EFDA" w:val="clear"/>
            <w:tcMar>
              <w:top w:type="dxa" w:w="120"/>
              <w:left w:type="dxa" w:w="200"/>
              <w:bottom w:type="dxa" w:w="120"/>
              <w:right w:type="dxa" w:w="200"/>
            </w:tcMar>
          </w:tcPr>
          <w:p>
            <w:pPr>
              <w:jc w:val="left"/>
            </w:pPr>
            <w:r>
              <w:rPr>
                <w:rFonts w:ascii="Arial" w:cs="Arial" w:eastAsia="Arial" w:hAnsi="Arial"/>
                <w:color w:val="1A1A1A"/>
                <w:sz w:val="18"/>
                <w:szCs w:val="18"/>
              </w:rPr>
              <w:t xml:space="preserve">Lee o revisa los siguientes materiales ANTES de llegar a clase el 18 o 19 de mayo:
1. El texto corto "¿Qué es la GTC 185?" disponible en el aula virtual. (5 min)
2. El caso introductorio de BoxLatam S.A.S. disponible en el aula virtual. (5 min)
3. Opcional: el artículo de Miller (1956) resumido en el recurso "7 ± 2" del aula virtual. (3 min)
No es necesario memorizar nada. Solo necesitas haber leído para poder participar en la discusión.</w:t>
            </w:r>
          </w:p>
        </w:tc>
      </w:tr>
    </w:tbl>
    <w:p>
      <w:pPr>
        <w:spacing w:after="0" w:before="0"/>
      </w:pPr>
      <w:r>
        <w:rPr>
          <w:sz w:val="20"/>
          <w:szCs w:val="20"/>
        </w:rPr>
        <w:t xml:space="preserve"/>
      </w:r>
    </w:p>
    <w:p>
      <w:pPr>
        <w:pStyle w:val="Heading2"/>
        <w:spacing w:after="80" w:before="200"/>
      </w:pPr>
      <w:r>
        <w:rPr>
          <w:rFonts w:ascii="Arial" w:cs="Arial" w:eastAsia="Arial" w:hAnsi="Arial"/>
          <w:b/>
          <w:bCs/>
          <w:color w:val="2E75B6"/>
          <w:sz w:val="24"/>
          <w:szCs w:val="24"/>
        </w:rPr>
        <w:t xml:space="preserve">C.3 Lo que necesitas saber (mínimo) antes de llegar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
        <w:gridCol w:w="9446"/>
      </w:tblGrid>
      <w:tr>
        <w:tc>
          <w:tcPr>
            <w:tcW w:type="dxa" w:w="300"/>
            <w:tcBorders>
              <w:top w:val="single" w:color="2E75B6" w:sz="6"/>
              <w:left w:val="single" w:color="2E75B6" w:sz="6"/>
              <w:bottom w:val="single" w:color="2E75B6" w:sz="6"/>
              <w:right w:val="single" w:color="2E75B6" w:sz="6"/>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w:t>
            </w:r>
          </w:p>
        </w:tc>
        <w:tc>
          <w:tcPr>
            <w:tcW w:type="dxa" w:w="9446"/>
            <w:tcBorders>
              <w:top w:val="single" w:color="2E75B6" w:sz="6"/>
              <w:left w:val="single" w:color="2E75B6" w:sz="6"/>
              <w:bottom w:val="single" w:color="2E75B6" w:sz="6"/>
              <w:right w:val="single" w:color="2E75B6" w:sz="6"/>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Concepto mínimo</w:t>
            </w:r>
          </w:p>
        </w:tc>
      </w:tr>
      <w:tr>
        <w:tc>
          <w:tcPr>
            <w:tcW w:type="dxa" w:w="3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8"/>
                <w:szCs w:val="18"/>
              </w:rPr>
              <w:t xml:space="preserve">✓</w:t>
            </w:r>
          </w:p>
        </w:tc>
        <w:tc>
          <w:tcPr>
            <w:tcW w:type="dxa" w:w="9446"/>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¿Qué es un documento administrativo? Es un registro escrito formal que respalda una acción, decisión o comunicación en una organización.</w:t>
            </w:r>
          </w:p>
        </w:tc>
      </w:tr>
      <w:tr>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8"/>
                <w:szCs w:val="18"/>
              </w:rPr>
              <w:t xml:space="preserve">✓</w:t>
            </w:r>
          </w:p>
        </w:tc>
        <w:tc>
          <w:tcPr>
            <w:tcW w:type="dxa" w:w="94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¿Qué es la GTC 185? Es la norma colombiana (ICONTEC) que establece cómo elaborar y presentar documentos comerciales en Colombia.</w:t>
            </w:r>
          </w:p>
        </w:tc>
      </w:tr>
      <w:tr>
        <w:tc>
          <w:tcPr>
            <w:tcW w:type="dxa" w:w="3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8"/>
                <w:szCs w:val="18"/>
              </w:rPr>
              <w:t xml:space="preserve">✓</w:t>
            </w:r>
          </w:p>
        </w:tc>
        <w:tc>
          <w:tcPr>
            <w:tcW w:type="dxa" w:w="9446"/>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¿Qué es un casillero virtual? Es una empresa que recibe paquetes de compras internacionales en una dirección en el exterior (ej. Miami) y los envía a Colombia.</w:t>
            </w:r>
          </w:p>
        </w:tc>
      </w:tr>
      <w:tr>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8"/>
                <w:szCs w:val="18"/>
              </w:rPr>
              <w:t xml:space="preserve">✓</w:t>
            </w:r>
          </w:p>
        </w:tc>
        <w:tc>
          <w:tcPr>
            <w:tcW w:type="dxa" w:w="94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¿Para qué sirve un memorando? Para comunicarse dentro de una organización de forma escrita y oficial.</w:t>
            </w:r>
          </w:p>
        </w:tc>
      </w:tr>
      <w:tr>
        <w:tc>
          <w:tcPr>
            <w:tcW w:type="dxa" w:w="3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8"/>
                <w:szCs w:val="18"/>
              </w:rPr>
              <w:t xml:space="preserve">✓</w:t>
            </w:r>
          </w:p>
        </w:tc>
        <w:tc>
          <w:tcPr>
            <w:tcW w:type="dxa" w:w="9446"/>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¿Qué hace el cerebro con demasiada información? La simplifica, filtra o descarta. Por eso la estructura de los documentos importa.</w:t>
            </w:r>
          </w:p>
        </w:tc>
      </w:tr>
    </w:tbl>
    <w:p>
      <w:pPr>
        <w:spacing w:after="0" w:before="0"/>
      </w:pPr>
      <w:r>
        <w:rPr>
          <w:sz w:val="20"/>
          <w:szCs w:val="20"/>
        </w:rPr>
        <w:t xml:space="preserve"/>
      </w:r>
    </w:p>
    <w:p>
      <w:pPr>
        <w:pStyle w:val="Heading2"/>
        <w:spacing w:after="80" w:before="200"/>
      </w:pPr>
      <w:r>
        <w:rPr>
          <w:rFonts w:ascii="Arial" w:cs="Arial" w:eastAsia="Arial" w:hAnsi="Arial"/>
          <w:b/>
          <w:bCs/>
          <w:color w:val="2E75B6"/>
          <w:sz w:val="24"/>
          <w:szCs w:val="24"/>
        </w:rPr>
        <w:t xml:space="preserve">C.4 Ejercicio de reflexión para hacer en clase</w:t>
      </w:r>
    </w:p>
    <w:p>
      <w:pPr>
        <w:spacing w:after="60" w:before="60"/>
        <w:jc w:val="both"/>
      </w:pPr>
      <w:r>
        <w:rPr>
          <w:rFonts w:ascii="Arial" w:cs="Arial" w:eastAsia="Arial" w:hAnsi="Arial"/>
          <w:b w:val="false"/>
          <w:bCs w:val="false"/>
          <w:i w:val="false"/>
          <w:iCs w:val="false"/>
          <w:color w:val="1A1A1A"/>
          <w:sz w:val="20"/>
          <w:szCs w:val="20"/>
        </w:rPr>
        <w:t xml:space="preserve">Durante la actividad de clasificación, vas a trabajar con 8 documentos reales de BoxLatam. Antes de clasificarlos, pregúntate: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DEEAF1" w:val="clear"/>
            <w:tcMar>
              <w:top w:type="dxa" w:w="120"/>
              <w:left w:type="dxa" w:w="200"/>
              <w:bottom w:type="dxa" w:w="120"/>
              <w:right w:type="dxa" w:w="200"/>
            </w:tcMar>
          </w:tcPr>
          <w:p>
            <w:pPr>
              <w:jc w:val="left"/>
            </w:pPr>
            <w:r>
              <w:rPr>
                <w:rFonts w:ascii="Arial" w:cs="Arial" w:eastAsia="Arial" w:hAnsi="Arial"/>
                <w:color w:val="1A1A1A"/>
                <w:sz w:val="18"/>
                <w:szCs w:val="18"/>
              </w:rPr>
              <w:t xml:space="preserve">1. ¿A quién va dirigido este documento? (¿a una persona específica, a un grupo, a otra empresa?)
2. ¿Qué acción espera generar? (¿informar, solicitar, confirmar, reclamar, registrar?)
3. ¿Es interno (dentro de BoxLatam) o externo (hacia un cliente, proveedor o entidad)?
Responde estas 3 preguntas por cada documento y la clasificación vendrá sola.</w:t>
            </w:r>
          </w:p>
        </w:tc>
      </w:tr>
    </w:tbl>
    <w:p>
      <w:pPr>
        <w:spacing w:after="0" w:before="0"/>
      </w:pPr>
      <w:r>
        <w:rPr>
          <w:sz w:val="20"/>
          <w:szCs w:val="20"/>
        </w:rPr>
        <w:t xml:space="preserve"/>
      </w:r>
    </w:p>
    <w:p>
      <w:pPr>
        <w:pStyle w:val="Heading2"/>
        <w:spacing w:after="80" w:before="200"/>
      </w:pPr>
      <w:r>
        <w:rPr>
          <w:rFonts w:ascii="Arial" w:cs="Arial" w:eastAsia="Arial" w:hAnsi="Arial"/>
          <w:b/>
          <w:bCs/>
          <w:color w:val="2E75B6"/>
          <w:sz w:val="24"/>
          <w:szCs w:val="24"/>
        </w:rPr>
        <w:t xml:space="preserve">C.5 Fuentes que puedes explorar por tu cuenta</w:t>
      </w:r>
    </w:p>
    <w:p>
      <w:pPr>
        <w:spacing w:after="40" w:before="40"/>
        <w:ind w:left="720"/>
      </w:pPr>
      <w:r>
        <w:rPr>
          <w:rFonts w:ascii="Arial" w:cs="Arial" w:eastAsia="Arial" w:hAnsi="Arial"/>
          <w:i/>
          <w:iCs/>
          <w:color w:val="595959"/>
          <w:sz w:val="16"/>
          <w:szCs w:val="16"/>
        </w:rPr>
        <w:t xml:space="preserve">ISO 15489-1:2016 – Resumen en inglés: https://www.iso.org/standard/62542.html</w:t>
      </w:r>
    </w:p>
    <w:p>
      <w:pPr>
        <w:spacing w:after="40" w:before="40"/>
        <w:ind w:left="720"/>
      </w:pPr>
      <w:r>
        <w:rPr>
          <w:rFonts w:ascii="Arial" w:cs="Arial" w:eastAsia="Arial" w:hAnsi="Arial"/>
          <w:i/>
          <w:iCs/>
          <w:color w:val="595959"/>
          <w:sz w:val="16"/>
          <w:szCs w:val="16"/>
        </w:rPr>
        <w:t xml:space="preserve">GTC 185:2009 – Guía completa: solicitar en biblioteca IUB o consultar en: https://intranet.institutofatima.edu.co/academico/SGC/Documentos/ext/DD-EX-10.pdf (adaptación)</w:t>
      </w:r>
    </w:p>
    <w:p>
      <w:pPr>
        <w:spacing w:after="40" w:before="40"/>
        <w:ind w:left="720"/>
      </w:pPr>
      <w:r>
        <w:rPr>
          <w:rFonts w:ascii="Arial" w:cs="Arial" w:eastAsia="Arial" w:hAnsi="Arial"/>
          <w:i/>
          <w:iCs/>
          <w:color w:val="595959"/>
          <w:sz w:val="16"/>
          <w:szCs w:val="16"/>
        </w:rPr>
        <w:t xml:space="preserve">WCO-UPU Postal Customs Guide 2024: https://www.upu.int/UPU/media/upu/files/postalSolutions/programmesAndServices/postalSupplyChain/customs/guideWcoUPUCustomsEn.pdf (especialmente §IV.j sobre CN 22 y CN 23)</w:t>
      </w:r>
    </w:p>
    <w:p>
      <w:pPr>
        <w:spacing w:after="40" w:before="40"/>
        <w:ind w:left="720"/>
      </w:pPr>
      <w:r>
        <w:rPr>
          <w:rFonts w:ascii="Arial" w:cs="Arial" w:eastAsia="Arial" w:hAnsi="Arial"/>
          <w:i/>
          <w:iCs/>
          <w:color w:val="595959"/>
          <w:sz w:val="16"/>
          <w:szCs w:val="16"/>
        </w:rPr>
        <w:t xml:space="preserve">ICA – International Council on Archives (plan estratégico): https://www.ica.org/en/empowering-archives-and-the-profession-2021-2024-ica-new-strategic-plan</w:t>
      </w:r>
    </w:p>
    <w:p>
      <w:pPr>
        <w:spacing w:after="0" w:before="0"/>
      </w:pPr>
      <w:r>
        <w:rPr>
          <w:sz w:val="20"/>
          <w:szCs w:val="20"/>
        </w:rPr>
        <w:t xml:space="preserve"/>
      </w:r>
    </w:p>
    <w:p>
      <w:r>
        <w:br w:type="page"/>
      </w:r>
    </w:p>
    <w:p>
      <w:pPr>
        <w:pStyle w:val="Heading1"/>
        <w:spacing w:after="120" w:before="300"/>
      </w:pPr>
      <w:r>
        <w:rPr>
          <w:rFonts w:ascii="Arial" w:cs="Arial" w:eastAsia="Arial" w:hAnsi="Arial"/>
          <w:b/>
          <w:bCs/>
          <w:color w:val="1F4E79"/>
          <w:sz w:val="28"/>
          <w:szCs w:val="28"/>
        </w:rPr>
        <w:t xml:space="preserve">PARTE D – RÚBRICA DE EVALUACIÓN (Actividad de clasificación)</w:t>
      </w:r>
    </w:p>
    <w:p>
      <w:pPr>
        <w:spacing w:after="60" w:before="60"/>
        <w:jc w:val="both"/>
      </w:pPr>
      <w:r>
        <w:rPr>
          <w:rFonts w:ascii="Arial" w:cs="Arial" w:eastAsia="Arial" w:hAnsi="Arial"/>
          <w:b w:val="false"/>
          <w:bCs w:val="false"/>
          <w:i w:val="false"/>
          <w:iCs w:val="false"/>
          <w:color w:val="1A1A1A"/>
          <w:sz w:val="20"/>
          <w:szCs w:val="20"/>
        </w:rPr>
        <w:t xml:space="preserve">Esta actividad NO es calificada. Es un diagnóstico. La rúbrica se usa como instrumento de aprendizaje, no de calificación sumativa. El docente puede asignar un check de participación.</w:t>
      </w:r>
    </w:p>
    <w:p>
      <w:pPr>
        <w:spacing w:after="0" w:before="0"/>
      </w:pPr>
      <w:r>
        <w:rPr>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c>
          <w:tcPr>
            <w:tcW w:type="dxa" w:w="2000"/>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Criterio</w:t>
            </w:r>
          </w:p>
        </w:tc>
        <w:tc>
          <w:tcPr>
            <w:tcW w:type="dxa" w:w="7746"/>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Indicador observable</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Clasificación correcta</w:t>
            </w:r>
          </w:p>
        </w:tc>
        <w:tc>
          <w:tcPr>
            <w:tcW w:type="dxa" w:w="774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Clasifica al menos 6 de 8 documentos en la categoría correcta según GTC 185.</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Justificación pertinente</w:t>
            </w:r>
          </w:p>
        </w:tc>
        <w:tc>
          <w:tcPr>
            <w:tcW w:type="dxa" w:w="77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Justifica la clasificación mencionando al menos la función comunicativa del documento.</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Diferenciación interno/externo</w:t>
            </w:r>
          </w:p>
        </w:tc>
        <w:tc>
          <w:tcPr>
            <w:tcW w:type="dxa" w:w="774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Identifica correctamente si el documento es de comunicación interna o externa.</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Participación activa</w:t>
            </w:r>
          </w:p>
        </w:tc>
        <w:tc>
          <w:tcPr>
            <w:tcW w:type="dxa" w:w="77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Participa en la socialización y escucha la retroalimentación.</w:t>
            </w:r>
          </w:p>
        </w:tc>
      </w:tr>
    </w:tbl>
    <w:p>
      <w:pPr>
        <w:spacing w:after="0" w:before="0"/>
      </w:pPr>
      <w:r>
        <w:rPr>
          <w:sz w:val="20"/>
          <w:szCs w:val="20"/>
        </w:rPr>
        <w:t xml:space="preserve"/>
      </w:r>
    </w:p>
    <w:p>
      <w:pPr>
        <w:pStyle w:val="Heading2"/>
        <w:spacing w:after="80" w:before="200"/>
      </w:pPr>
      <w:r>
        <w:rPr>
          <w:rFonts w:ascii="Arial" w:cs="Arial" w:eastAsia="Arial" w:hAnsi="Arial"/>
          <w:b/>
          <w:bCs/>
          <w:color w:val="2E75B6"/>
          <w:sz w:val="24"/>
          <w:szCs w:val="24"/>
        </w:rPr>
        <w:t xml:space="preserve">Bibliografía citada en esta guía</w:t>
      </w:r>
    </w:p>
    <w:p>
      <w:pPr>
        <w:spacing w:after="40" w:before="40"/>
        <w:ind w:left="720"/>
      </w:pPr>
      <w:r>
        <w:rPr>
          <w:rFonts w:ascii="Arial" w:cs="Arial" w:eastAsia="Arial" w:hAnsi="Arial"/>
          <w:i/>
          <w:iCs/>
          <w:color w:val="595959"/>
          <w:sz w:val="16"/>
          <w:szCs w:val="16"/>
        </w:rPr>
        <w:t xml:space="preserve">Archivo General de la Nación – AGN Colombia (2001). Acuerdo 060 de 2001: Pautas para la administración de comunicaciones oficiales. AGN, Bogotá. Disponible en: https://normativa.archivogeneral.gov.co/acuerdo-060-de-2001/</w:t>
      </w:r>
    </w:p>
    <w:p>
      <w:pPr>
        <w:spacing w:after="40" w:before="40"/>
        <w:ind w:left="720"/>
      </w:pPr>
      <w:r>
        <w:rPr>
          <w:rFonts w:ascii="Arial" w:cs="Arial" w:eastAsia="Arial" w:hAnsi="Arial"/>
          <w:i/>
          <w:iCs/>
          <w:color w:val="595959"/>
          <w:sz w:val="16"/>
          <w:szCs w:val="16"/>
        </w:rPr>
        <w:t xml:space="preserve">Baddeley, A.D. (2000). The episodic buffer: a new component of working memory? Trends in Cognitive Sciences, 4(11), 417–423.</w:t>
      </w:r>
    </w:p>
    <w:p>
      <w:pPr>
        <w:spacing w:after="40" w:before="40"/>
        <w:ind w:left="720"/>
      </w:pPr>
      <w:r>
        <w:rPr>
          <w:rFonts w:ascii="Arial" w:cs="Arial" w:eastAsia="Arial" w:hAnsi="Arial"/>
          <w:i/>
          <w:iCs/>
          <w:color w:val="595959"/>
          <w:sz w:val="16"/>
          <w:szCs w:val="16"/>
        </w:rPr>
        <w:t xml:space="preserve">ICA – International Council on Archives (2020). Empowering Archives and the Profession 2021–2024. ICA, París.</w:t>
      </w:r>
    </w:p>
    <w:p>
      <w:pPr>
        <w:spacing w:after="40" w:before="40"/>
        <w:ind w:left="720"/>
      </w:pPr>
      <w:r>
        <w:rPr>
          <w:rFonts w:ascii="Arial" w:cs="Arial" w:eastAsia="Arial" w:hAnsi="Arial"/>
          <w:i/>
          <w:iCs/>
          <w:color w:val="595959"/>
          <w:sz w:val="16"/>
          <w:szCs w:val="16"/>
        </w:rPr>
        <w:t xml:space="preserve">ICONTEC (2009). Guía Técnica Colombiana GTC 185 – Documentación Organizacional. ICONTEC, Bogotá.</w:t>
      </w:r>
    </w:p>
    <w:p>
      <w:pPr>
        <w:spacing w:after="40" w:before="40"/>
        <w:ind w:left="720"/>
      </w:pPr>
      <w:r>
        <w:rPr>
          <w:rFonts w:ascii="Arial" w:cs="Arial" w:eastAsia="Arial" w:hAnsi="Arial"/>
          <w:i/>
          <w:iCs/>
          <w:color w:val="595959"/>
          <w:sz w:val="16"/>
          <w:szCs w:val="16"/>
        </w:rPr>
        <w:t xml:space="preserve">ISO (2016). ISO 15489-1:2016 – Information and documentation — Records management — Part 1. ISO, Ginebra.</w:t>
      </w:r>
    </w:p>
    <w:p>
      <w:pPr>
        <w:spacing w:after="40" w:before="40"/>
        <w:ind w:left="720"/>
      </w:pPr>
      <w:r>
        <w:rPr>
          <w:rFonts w:ascii="Arial" w:cs="Arial" w:eastAsia="Arial" w:hAnsi="Arial"/>
          <w:i/>
          <w:iCs/>
          <w:color w:val="595959"/>
          <w:sz w:val="16"/>
          <w:szCs w:val="16"/>
        </w:rPr>
        <w:t xml:space="preserve">Kahneman, D. (2011). Thinking, Fast and Slow. Farrar, Straus and Giroux, New York.</w:t>
      </w:r>
    </w:p>
    <w:p>
      <w:pPr>
        <w:spacing w:after="40" w:before="40"/>
        <w:ind w:left="720"/>
      </w:pPr>
      <w:r>
        <w:rPr>
          <w:rFonts w:ascii="Arial" w:cs="Arial" w:eastAsia="Arial" w:hAnsi="Arial"/>
          <w:i/>
          <w:iCs/>
          <w:color w:val="595959"/>
          <w:sz w:val="16"/>
          <w:szCs w:val="16"/>
        </w:rPr>
        <w:t xml:space="preserve">Miller, G.A. (1956). The Magical Number Seven, Plus or Minus Two. Psychological Review, 63(2), 81–97.</w:t>
      </w:r>
    </w:p>
    <w:p>
      <w:pPr>
        <w:spacing w:after="40" w:before="40"/>
        <w:ind w:left="720"/>
      </w:pPr>
      <w:r>
        <w:rPr>
          <w:rFonts w:ascii="Arial" w:cs="Arial" w:eastAsia="Arial" w:hAnsi="Arial"/>
          <w:i/>
          <w:iCs/>
          <w:color w:val="595959"/>
          <w:sz w:val="16"/>
          <w:szCs w:val="16"/>
        </w:rPr>
        <w:t xml:space="preserve">WCO/UPU (2024). Postal Customs Guide – Final Edition 2024. WCO/UPU, Bruselas/Berna.</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95959"/>
        <w:sz w:val="16"/>
        <w:szCs w:val="16"/>
      </w:rPr>
      <w:t xml:space="preserve">ADM18 – BoxLatam S.A.S. | IUB 2026-1 | Página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de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0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6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2026-05-21T17:14:47.489Z</dcterms:created>
  <dcterms:modified xsi:type="dcterms:W3CDTF">2026-05-21T17:14:47.490Z</dcterms:modified>
</cp:coreProperties>
</file>

<file path=docProps/custom.xml><?xml version="1.0" encoding="utf-8"?>
<Properties xmlns="http://schemas.openxmlformats.org/officeDocument/2006/custom-properties" xmlns:vt="http://schemas.openxmlformats.org/officeDocument/2006/docPropsVTypes"/>
</file>